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282773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282773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282773">
              <w:rPr>
                <w:b/>
                <w:sz w:val="20"/>
                <w:szCs w:val="20"/>
              </w:rPr>
              <w:t xml:space="preserve">учебные предметы, </w:t>
            </w:r>
            <w:r w:rsidRPr="00282773">
              <w:rPr>
                <w:b/>
                <w:sz w:val="20"/>
                <w:szCs w:val="20"/>
              </w:rPr>
              <w:t>дисциплины</w:t>
            </w:r>
            <w:r w:rsidR="007D7E58" w:rsidRPr="00282773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D261BD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Электротехника</w:t>
            </w:r>
            <w:r w:rsidR="008500AB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D261BD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Основы электроники</w:t>
            </w:r>
            <w:r w:rsidR="008500AB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D261BD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Электрические измерения</w:t>
            </w:r>
            <w:r w:rsidR="008500AB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D261BD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Безопасность работ в электроустановках</w:t>
            </w:r>
            <w:r w:rsidR="008500AB" w:rsidRPr="00282773">
              <w:rPr>
                <w:sz w:val="18"/>
                <w:szCs w:val="18"/>
              </w:rPr>
              <w:t>;</w:t>
            </w:r>
          </w:p>
          <w:p w:rsidR="00D261BD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Материаловедение</w:t>
            </w:r>
            <w:r w:rsidR="008500AB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8500AB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Основы микропроцессорных систем управления в энергетике</w:t>
            </w:r>
            <w:r w:rsidR="008500AB" w:rsidRPr="00282773">
              <w:rPr>
                <w:sz w:val="18"/>
                <w:szCs w:val="18"/>
              </w:rPr>
              <w:t>;</w:t>
            </w:r>
          </w:p>
          <w:p w:rsidR="00525CC7" w:rsidRPr="00282773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 xml:space="preserve"> Основы автоматики и элементы систем автоматического 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«Основы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0AB" w:rsidRPr="00282773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Физика</w:t>
            </w:r>
            <w:r w:rsidR="008500AB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525CC7" w:rsidRPr="00282773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А</w:t>
            </w:r>
            <w:r w:rsidR="006A3B1E" w:rsidRPr="00282773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="00525CC7">
              <w:rPr>
                <w:sz w:val="20"/>
                <w:szCs w:val="20"/>
                <w:highlight w:val="white"/>
              </w:rPr>
              <w:t>ысшее</w:t>
            </w:r>
            <w:r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282773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282773">
              <w:rPr>
                <w:sz w:val="18"/>
                <w:szCs w:val="18"/>
                <w:highlight w:val="white"/>
              </w:rPr>
              <w:t>Информатика</w:t>
            </w:r>
            <w:r w:rsidR="004E18A6" w:rsidRPr="00282773">
              <w:rPr>
                <w:sz w:val="18"/>
                <w:szCs w:val="18"/>
                <w:highlight w:val="white"/>
              </w:rPr>
              <w:t>;</w:t>
            </w:r>
            <w:r w:rsidRPr="00282773">
              <w:rPr>
                <w:sz w:val="18"/>
                <w:szCs w:val="18"/>
                <w:highlight w:val="white"/>
              </w:rPr>
              <w:t xml:space="preserve"> </w:t>
            </w:r>
            <w:r w:rsidR="004E18A6" w:rsidRPr="00282773">
              <w:rPr>
                <w:sz w:val="18"/>
                <w:szCs w:val="18"/>
                <w:highlight w:val="white"/>
              </w:rPr>
              <w:t>И</w:t>
            </w:r>
            <w:r w:rsidRPr="00282773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Голосевич</w:t>
            </w:r>
            <w:proofErr w:type="spellEnd"/>
          </w:p>
          <w:p w:rsidR="00525CC7" w:rsidRDefault="00525CC7" w:rsidP="00744399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 xml:space="preserve">, учитель </w:t>
            </w:r>
            <w:r w:rsidR="00525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математики и вычислительной техники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282773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Математика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2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CC7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Долгобородова</w:t>
            </w:r>
            <w:proofErr w:type="spellEnd"/>
          </w:p>
          <w:p w:rsidR="00525CC7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Анатольевна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shd w:val="clear" w:color="auto" w:fill="FFFFFF" w:themeFill="background1"/>
          </w:tcPr>
          <w:p w:rsidR="00525CC7" w:rsidRDefault="00525CC7" w:rsidP="0074439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200" w:type="dxa"/>
            <w:shd w:val="clear" w:color="auto" w:fill="FFFFFF" w:themeFill="background1"/>
          </w:tcPr>
          <w:p w:rsidR="00525CC7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5171BC">
              <w:rPr>
                <w:sz w:val="20"/>
                <w:szCs w:val="20"/>
              </w:rPr>
              <w:t>, магистр</w:t>
            </w: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науки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«Инновационная деятельность профессиональных объединений педагогов» 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525CC7" w:rsidRPr="00282773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Физическая</w:t>
            </w:r>
          </w:p>
          <w:p w:rsidR="00525CC7" w:rsidRPr="00282773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4E18A6" w:rsidRPr="00282773" w:rsidRDefault="006A3B1E" w:rsidP="004E18A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История</w:t>
            </w:r>
            <w:r w:rsidR="004E18A6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1C7F72" w:rsidRPr="00282773" w:rsidRDefault="004E18A6" w:rsidP="00282773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</w:t>
            </w:r>
            <w:r w:rsidR="006A3B1E" w:rsidRPr="00282773">
              <w:rPr>
                <w:sz w:val="18"/>
                <w:szCs w:val="18"/>
              </w:rPr>
              <w:t>сновы философии</w:t>
            </w:r>
            <w:r w:rsidRPr="00282773">
              <w:rPr>
                <w:sz w:val="18"/>
                <w:szCs w:val="18"/>
              </w:rPr>
              <w:t>;</w:t>
            </w:r>
            <w:r w:rsidR="006A3B1E" w:rsidRPr="00282773">
              <w:rPr>
                <w:sz w:val="18"/>
                <w:szCs w:val="18"/>
              </w:rPr>
              <w:t xml:space="preserve"> </w:t>
            </w:r>
          </w:p>
          <w:p w:rsidR="001C7F72" w:rsidRPr="00282773" w:rsidRDefault="001C7F72" w:rsidP="004E18A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Основы предпринимательства</w:t>
            </w:r>
            <w:r w:rsidR="004E18A6" w:rsidRPr="00282773">
              <w:rPr>
                <w:sz w:val="18"/>
                <w:szCs w:val="18"/>
              </w:rPr>
              <w:t>;</w:t>
            </w:r>
          </w:p>
          <w:p w:rsidR="001C7F72" w:rsidRPr="00282773" w:rsidRDefault="001C7F72" w:rsidP="004E18A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Основы проектно-исследовательской деятельности</w:t>
            </w:r>
            <w:r w:rsidR="004E18A6" w:rsidRPr="00282773">
              <w:rPr>
                <w:sz w:val="18"/>
                <w:szCs w:val="18"/>
              </w:rPr>
              <w:t>;</w:t>
            </w:r>
            <w:r w:rsidRPr="00282773">
              <w:rPr>
                <w:sz w:val="18"/>
                <w:szCs w:val="18"/>
              </w:rPr>
              <w:t xml:space="preserve"> </w:t>
            </w:r>
          </w:p>
          <w:p w:rsidR="001C7F72" w:rsidRPr="00282773" w:rsidRDefault="001C7F72" w:rsidP="004E18A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lastRenderedPageBreak/>
              <w:t>Основы менеджмента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282773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  <w:p w:rsidR="00282773" w:rsidRDefault="00282773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282773" w:rsidRDefault="00282773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282773" w:rsidRDefault="00282773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282773" w:rsidRPr="00282773" w:rsidRDefault="00282773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Иностранный язык;</w:t>
            </w:r>
          </w:p>
          <w:p w:rsidR="00282773" w:rsidRPr="00282773" w:rsidRDefault="00282773" w:rsidP="0028277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052817"/>
        </w:tc>
      </w:tr>
      <w:tr w:rsidR="00282773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82773" w:rsidRDefault="00282773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2773" w:rsidRDefault="00282773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82773" w:rsidRDefault="00282773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2773" w:rsidRPr="00282773" w:rsidRDefault="00282773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052817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«Содержание и методика преподавания курса финансовой грамотности обучающимся 10-11 классов»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28277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  <w:highlight w:val="white"/>
              </w:rPr>
              <w:t>Экологические основы природопользования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282773" w:rsidRDefault="00282773" w:rsidP="00C156B6">
            <w:pPr>
              <w:jc w:val="center"/>
            </w:pPr>
            <w:r>
              <w:rPr>
                <w:sz w:val="20"/>
                <w:szCs w:val="20"/>
              </w:rPr>
              <w:t>Мамонова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282773" w:rsidRDefault="00282773" w:rsidP="00C156B6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отдела по учебно-методической работе и инклюзивному образованию</w:t>
            </w:r>
          </w:p>
          <w:p w:rsidR="00282773" w:rsidRDefault="00282773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 учитель трудового обучения и общетехнических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дисциплин, мастер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и </w:t>
            </w:r>
            <w:proofErr w:type="spellStart"/>
            <w:r>
              <w:rPr>
                <w:sz w:val="20"/>
                <w:szCs w:val="20"/>
              </w:rPr>
              <w:t>предприинимательство</w:t>
            </w:r>
            <w:proofErr w:type="spellEnd"/>
          </w:p>
        </w:tc>
        <w:tc>
          <w:tcPr>
            <w:tcW w:w="1202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  <w:r>
              <w:rPr>
                <w:sz w:val="20"/>
                <w:szCs w:val="20"/>
                <w:highlight w:val="white"/>
              </w:rPr>
              <w:t xml:space="preserve"> «Менеджмент и экономика образования», 2015 г.;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 «Подготовка экспертов для осуществления государственного контроля (надзора) в сфере образования»,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2018 г.;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0" w:name="__DdeLink__4064_1220468695"/>
            <w:bookmarkEnd w:id="0"/>
            <w:r>
              <w:rPr>
                <w:sz w:val="20"/>
                <w:szCs w:val="20"/>
                <w:highlight w:val="white"/>
              </w:rPr>
              <w:t xml:space="preserve"> «Нормативно-методическое сопровождение теоретического и практического обучения в ПОО», 2019 г.;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«Основы проектного управления»,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(72 часа), 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организаций и проведение демонстрационного экзамена»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«Подготовка экспертов для осуществления экспертизы в целях федерального </w:t>
            </w:r>
            <w:r>
              <w:rPr>
                <w:sz w:val="20"/>
                <w:szCs w:val="20"/>
                <w:highlight w:val="white"/>
              </w:rPr>
              <w:lastRenderedPageBreak/>
              <w:t>государственного контроля (надзора) в сфере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842" w:type="dxa"/>
          </w:tcPr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Техническая механика; Эксплуатация и ремонт электрооборудования промышленных и гражданских зданий</w:t>
            </w:r>
          </w:p>
          <w:p w:rsidR="00282773" w:rsidRPr="00282773" w:rsidRDefault="00282773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282773" w:rsidRPr="001F6DEF" w:rsidRDefault="00282773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282773" w:rsidRPr="001F6DEF" w:rsidRDefault="00282773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282773" w:rsidRDefault="00282773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C156B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282773" w:rsidRPr="00282773" w:rsidRDefault="00282773" w:rsidP="00282773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«Промежуточная аттестация по русскому языку и литературе»  (40 часов) 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Русский язык; Литература;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 xml:space="preserve"> Родная литература; Русский язык и культура речи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282773" w:rsidRDefault="00282773" w:rsidP="00C156B6">
            <w:pPr>
              <w:jc w:val="center"/>
              <w:rPr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Никитенак</w:t>
            </w:r>
            <w:proofErr w:type="spellEnd"/>
          </w:p>
          <w:p w:rsidR="00282773" w:rsidRDefault="00282773" w:rsidP="00C156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Олег Александрович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начальное профессиональное, столяр строительный 4-го разряда, плотник 4-го разряда, станочник</w:t>
            </w:r>
          </w:p>
        </w:tc>
        <w:tc>
          <w:tcPr>
            <w:tcW w:w="1701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"Электромонтажник"»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Монтаж и наладка электрических сетей;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Организация деятельности электромонтажного подразделения;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Монтаж электрооборудования промышленных и гражданских зданий;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Наладка электрооборудования;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lastRenderedPageBreak/>
              <w:t>Внешнее электроснабжение промышленных и гражданских зданий;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Электрооборудование промышленных и гражданских зданий;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 xml:space="preserve">Слесарное дело и технические измерения; </w:t>
            </w:r>
          </w:p>
          <w:p w:rsidR="00282773" w:rsidRP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Учебная практика; 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</w:rPr>
              <w:t>Никитенак</w:t>
            </w:r>
            <w:proofErr w:type="spellEnd"/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>
              <w:rPr>
                <w:sz w:val="20"/>
                <w:szCs w:val="20"/>
              </w:rPr>
              <w:t>психоактивными</w:t>
            </w:r>
            <w:proofErr w:type="spellEnd"/>
            <w:r>
              <w:rPr>
                <w:sz w:val="20"/>
                <w:szCs w:val="20"/>
              </w:rPr>
              <w:t xml:space="preserve"> веществами в </w:t>
            </w:r>
            <w:proofErr w:type="spellStart"/>
            <w:r>
              <w:rPr>
                <w:sz w:val="20"/>
                <w:szCs w:val="20"/>
              </w:rPr>
              <w:t>подростково-молодежной</w:t>
            </w:r>
            <w:proofErr w:type="spellEnd"/>
            <w:r>
              <w:rPr>
                <w:sz w:val="20"/>
                <w:szCs w:val="20"/>
              </w:rPr>
              <w:t xml:space="preserve"> среде», (24 часа),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«Инклюзивное образование обучающихся с инвалидностью и ограниченными возможностями здоровья»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«Школа модераторов </w:t>
            </w:r>
            <w:r>
              <w:rPr>
                <w:sz w:val="20"/>
                <w:szCs w:val="20"/>
                <w:highlight w:val="white"/>
              </w:rPr>
              <w:lastRenderedPageBreak/>
              <w:t xml:space="preserve">технологического </w:t>
            </w:r>
            <w:proofErr w:type="spellStart"/>
            <w:r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>
              <w:rPr>
                <w:sz w:val="20"/>
                <w:szCs w:val="20"/>
                <w:highlight w:val="white"/>
              </w:rPr>
              <w:t>» 2021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«Теоретические и практические основы применения технологий песочной анимации в работе с детьми» 2021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282773" w:rsidRDefault="00282773" w:rsidP="00C156B6">
            <w:pPr>
              <w:jc w:val="center"/>
            </w:pPr>
            <w:r>
              <w:rPr>
                <w:sz w:val="20"/>
                <w:szCs w:val="20"/>
              </w:rPr>
              <w:lastRenderedPageBreak/>
              <w:t>9 лет</w:t>
            </w: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  <w:p w:rsidR="00282773" w:rsidRDefault="00282773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282773" w:rsidRPr="00282773" w:rsidRDefault="00282773" w:rsidP="0028277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282773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282773" w:rsidRDefault="00282773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282773" w:rsidRDefault="00282773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282773" w:rsidRDefault="00282773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282773" w:rsidRPr="00282773" w:rsidRDefault="00282773" w:rsidP="00C156B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  <w:tr w:rsidR="00282773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82773" w:rsidRDefault="00282773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по оцениванию работ с развернутым ответом участников основного </w:t>
            </w:r>
            <w:r>
              <w:rPr>
                <w:sz w:val="20"/>
                <w:szCs w:val="20"/>
              </w:rPr>
              <w:lastRenderedPageBreak/>
              <w:t>государственного экзамена»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82773" w:rsidRDefault="00282773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282773" w:rsidRPr="00282773" w:rsidRDefault="00282773" w:rsidP="00C156B6">
            <w:pPr>
              <w:jc w:val="center"/>
              <w:rPr>
                <w:sz w:val="18"/>
                <w:szCs w:val="18"/>
              </w:rPr>
            </w:pPr>
            <w:r w:rsidRPr="00282773">
              <w:rPr>
                <w:sz w:val="18"/>
                <w:szCs w:val="18"/>
              </w:rPr>
              <w:t>Обществознание; Основы политологии и социологии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73" w:rsidRDefault="00282773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0" w:rsidRDefault="009727D0">
      <w:r>
        <w:separator/>
      </w:r>
    </w:p>
  </w:endnote>
  <w:endnote w:type="continuationSeparator" w:id="0">
    <w:p w:rsidR="009727D0" w:rsidRDefault="0097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0" w:rsidRDefault="009727D0">
      <w:r>
        <w:separator/>
      </w:r>
    </w:p>
  </w:footnote>
  <w:footnote w:type="continuationSeparator" w:id="0">
    <w:p w:rsidR="009727D0" w:rsidRDefault="0097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B26AA1" w:rsidRDefault="00F9765F">
        <w:pPr>
          <w:pStyle w:val="af4"/>
          <w:jc w:val="center"/>
        </w:pPr>
        <w:fldSimple w:instr="PAGE">
          <w:r w:rsidR="00282773">
            <w:rPr>
              <w:noProof/>
            </w:rPr>
            <w:t>7</w:t>
          </w:r>
        </w:fldSimple>
      </w:p>
    </w:sdtContent>
  </w:sdt>
  <w:p w:rsidR="00B26AA1" w:rsidRDefault="00B26AA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8277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616EDC"/>
    <w:rsid w:val="006236F4"/>
    <w:rsid w:val="00672478"/>
    <w:rsid w:val="0068716D"/>
    <w:rsid w:val="006A3B1E"/>
    <w:rsid w:val="006D04CA"/>
    <w:rsid w:val="007068F1"/>
    <w:rsid w:val="00710531"/>
    <w:rsid w:val="00744399"/>
    <w:rsid w:val="00775E33"/>
    <w:rsid w:val="007A797D"/>
    <w:rsid w:val="007D7BE3"/>
    <w:rsid w:val="007D7E58"/>
    <w:rsid w:val="007F6DCF"/>
    <w:rsid w:val="008500AB"/>
    <w:rsid w:val="00860E8C"/>
    <w:rsid w:val="00873474"/>
    <w:rsid w:val="008C0F37"/>
    <w:rsid w:val="008E7C6E"/>
    <w:rsid w:val="0095185F"/>
    <w:rsid w:val="00961293"/>
    <w:rsid w:val="009727D0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26AA1"/>
    <w:rsid w:val="00B8547F"/>
    <w:rsid w:val="00BC0509"/>
    <w:rsid w:val="00BD394A"/>
    <w:rsid w:val="00C04814"/>
    <w:rsid w:val="00C156B6"/>
    <w:rsid w:val="00C1752C"/>
    <w:rsid w:val="00C371B9"/>
    <w:rsid w:val="00C93A08"/>
    <w:rsid w:val="00CC0C63"/>
    <w:rsid w:val="00CF0ECB"/>
    <w:rsid w:val="00D261BD"/>
    <w:rsid w:val="00DD5E7A"/>
    <w:rsid w:val="00E16D35"/>
    <w:rsid w:val="00E94998"/>
    <w:rsid w:val="00F23C53"/>
    <w:rsid w:val="00F664FC"/>
    <w:rsid w:val="00F72F57"/>
    <w:rsid w:val="00F9765F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479E-1984-4BC4-9FC9-0CF0B3A1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5</cp:revision>
  <cp:lastPrinted>2022-11-25T09:56:00Z</cp:lastPrinted>
  <dcterms:created xsi:type="dcterms:W3CDTF">2023-02-20T13:05:00Z</dcterms:created>
  <dcterms:modified xsi:type="dcterms:W3CDTF">2023-02-21T08:01:00Z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