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Nimbus Roman No9 L" w:hAnsi="Nimbus Roman No9 L" w:cs="Nimbus Roman No9 L"/>
          <w:b/>
          <w:bCs/>
          <w:sz w:val="24"/>
          <w:szCs w:val="24"/>
          <w:u w:val="single" w:color="auto"/>
          <w:shadow/>
        </w:rPr>
        <w:t xml:space="preserve">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6.05. 20 География гр 2  преподаватель Шарина Г.А. 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b/>
          <w:bCs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fldChar w:fldCharType="end"/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Ребята, у нас остается 12 пар, результаты на 6.05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br/>
      </w:r>
      <w:r>
        <w:rPr>
          <w:rFonts w:ascii="Nimbus Roman No9 L" w:hAnsi="Nimbus Roman No9 L" w:cs="Nimbus Roman No9 L"/>
          <w:b/>
          <w:bCs/>
          <w:sz w:val="24"/>
          <w:szCs w:val="24"/>
          <w:shadow/>
        </w:rPr>
        <w:t xml:space="preserve"> 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04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352"/>
        <w:gridCol w:w="337"/>
        <w:gridCol w:w="352"/>
        <w:gridCol w:w="353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17" w:right="0" w:hanging="17"/>
              <w:widowControl/>
              <w:jc w:val="left"/>
              <w:rPr/>
            </w:pPr>
            <w:r>
              <w:rPr>
                <w:rStyle w:val="37"/>
              </w:rPr>
              <w:t>№ п/п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37"/>
              </w:rPr>
              <w:t>Ф.И.О.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ПР Воспроиз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 мира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Европа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Кроссворд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Бережной Павел Николаевич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Веретнов Николай Дмитриевич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2"/>
              <w:widowControl/>
              <w:jc w:val="center"/>
              <w:rPr/>
            </w:pPr>
            <w:r>
              <w:rPr>
                <w:rStyle w:val="35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Дмитриев Андрон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Евдокимов Дмитрий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Ермолаев Максим Владимирович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Зайцев Сергей Алексеевич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Копылов Андрей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Корякин Артём Юрьевич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Кузин Артур Олегович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Ласица Александр Васильевич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Лобанов Андрей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Михалев Данила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Новосёлов Виктор Алексеевич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Озябкин Владислав Витальевич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  <w:r>
              <w:rPr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Притыкин Антон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Разгоян Александр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Рудный Даниил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Селякова Елена Владимировна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 xml:space="preserve">Соснин Максим Евгеньевич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Фомин Георгий Константинович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1"/>
                <w:szCs w:val="20"/>
              </w:rPr>
              <w:t>Шелегин Данил Сергеевич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1"/>
                <w:szCs w:val="20"/>
              </w:rPr>
              <w:t>Шемякин Степан Витальевич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Шиганов Алексей Константинович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</w:tbl>
    <w:p>
      <w:pPr>
        <w:pStyle w:val="a1"/>
        <w:rPr>
          <w:sz w:val="22"/>
          <w:szCs w:val="22"/>
        </w:rPr>
      </w:pPr>
    </w:p>
    <w:p>
      <w:pPr>
        <w:bidi w:val="off"/>
        <w:jc w:val="both"/>
        <w:spacing w:lineRule="auto"/>
        <w:rPr>
          <w:sz w:val="22"/>
          <w:szCs w:val="22"/>
          <w:rtl w:val="off"/>
        </w:rPr>
      </w:pPr>
      <w:r>
        <w:rPr>
          <w:sz w:val="22"/>
          <w:szCs w:val="22"/>
        </w:rPr>
        <w:t xml:space="preserve"> </w:t>
      </w:r>
    </w:p>
    <w:p>
      <w:pPr>
        <w:bidi w:val="off"/>
        <w:jc w:val="both"/>
        <w:spacing w:lineRule="auto"/>
      </w:pPr>
      <w:r>
        <w:rPr>
          <w:sz w:val="28"/>
          <w:szCs w:val="28"/>
          <w:rtl w:val="off"/>
        </w:rPr>
        <w:t>География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Еще раз возвращаемся к Зарубежной Азии (учебник автор Максаковский)   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 Отличительные особенности стран Зарубежной Азии: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Территория – 27,7млн.кв.км (уступает только Африке)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Население-3,75 млрд. человек (превосходит все другие регионы)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политической карте Зарубежной Азии – 38 суверенных государств( многие из них относятся к древнейшим в мире)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Зарубежная Азия – один из очагов зарождения человечества, родин земледелия, искусственного орошения, городов, многих культурных ценностей.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Почти все страны относятся к числу развивающихся.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составе Зарубежной Азии выделяют четыре субрегиона: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Центральная и Восточная Азия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Юго-Восточная Азия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Южная Азия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Юго-Западная Азия.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1: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писать по несколько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основных стран представителей субрегионов Зарубежной Азии. 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Субрегионы Зарубежной Азии</w:t>
      </w:r>
    </w:p>
    <w:p>
      <w:pPr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p>
      <w:pPr>
        <w:ind w:firstLine="0"/>
        <w:rPr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1.Центральная и Восточная Азия: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2. Юго-Восточная Азия: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3.Южная Азия: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4.Юго-Западная Азия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Общая характеристика стран: территория, границы, положение.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Территория Зарубежной Азии протягивается с севера на юг почти на 7 тыс. км, а с запада на восток более чем на 10 тыс. км.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Две страны – Китай и Индия относятся к странам –гигантам, большинство остальных – к довольно крупным странам (Турция, Монголия, Казахстан и др.), есть микрогосударства (Сингапур).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Границы проходят по хорошо выраженным границам (горам и рекам)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Экономико-географическое положение характеризуется тремя главными чертами: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во-первых, это соседское положение, которое во многом объединяет страны каждого из четырёх субрегионов Азии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во-вторых, это приморское положение большинства стран, обеспечивающих выход к морям 3-х океанов, где проходят важнейшие мировые торговые пути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третьих, это глубинное положение некоторых стран, которое в целом значительно менее выгодно.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Политическая карта зарубежной Азии: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претерпела большие изменения за последнее время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перед второй мировой войной в колониях и полуколониях жило 90% её населения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настоящее время почт все страны региона – суверенные государства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Ближнем Востоке ещё не решена проблема палестинского государства, Корея разделена демаркационной линией на КНДР и Республику Корея, существуют территориальные споры между Ираном и Ираком, Индией и Пакистаном, Японией и Россией.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Зарубежной Азии представлены и республики, и монархии, и унитарные, и федеративные государства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/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2:</w:t>
      </w:r>
      <w:r>
        <w:rPr/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«визитную карточку»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стран на форзаце учебника конкретизируйте характеристику их государственного строя. Работа выполняется в виде таблицы.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Государственный строй стран Зарубежной Азии</w:t>
      </w:r>
    </w:p>
    <w:p>
      <w:pPr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"/>
        <w:gridCol w:w="1665"/>
        <w:gridCol w:w="1305"/>
        <w:gridCol w:w="1386"/>
        <w:gridCol w:w="2274"/>
        <w:gridCol w:w="2086"/>
      </w:tblGrid>
      <w:tr>
        <w:tc>
          <w:tcPr>
            <w:tcW w:w="4360" w:type="dxa"/>
            <w:gridSpan w:val="4"/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Форма правления</w:t>
            </w:r>
          </w:p>
        </w:tc>
        <w:tc>
          <w:tcPr>
            <w:tcW w:w="4360" w:type="dxa"/>
            <w:gridSpan w:val="2"/>
          </w:tcPr>
          <w:p>
            <w:pPr>
              <w:bidi w:val="off"/>
              <w:jc w:val="center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Форма админ территор управления</w:t>
            </w:r>
          </w:p>
        </w:tc>
      </w:tr>
      <w:tr>
        <w:trPr>
          <w:trHeight w:val="326" w:hRule="atLeast"/>
        </w:trPr>
        <w:tc>
          <w:tcPr>
            <w:tcW w:w="4360" w:type="dxa"/>
            <w:vMerge w:val="restart"/>
            <w:tcBorders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  <w:t>республика</w:t>
            </w:r>
          </w:p>
        </w:tc>
        <w:tc>
          <w:tcPr>
            <w:tcW w:w="4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Республики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монархия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монархия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center"/>
              <w:spacing w:lineRule="auto"/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8"/>
                <w:szCs w:val="28"/>
                <w:rtl w:val="off"/>
              </w:rPr>
              <w:t>УГ</w:t>
            </w:r>
          </w:p>
        </w:tc>
        <w:tc>
          <w:tcPr>
            <w:tcW w:w="4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ФГ</w:t>
            </w:r>
          </w:p>
        </w:tc>
      </w:tr>
      <w:tr>
        <w:trPr>
          <w:trHeight w:val="15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КМ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АМ</w:t>
            </w:r>
          </w:p>
        </w:tc>
        <w:tc>
          <w:tcPr>
            <w:tcW w:w="43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4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/>
        </w:tc>
        <w:tc>
          <w:tcPr>
            <w:tcW w:w="43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  <w:tr>
        <w:trPr>
          <w:trHeight w:val="1619" w:hRule="atLeast"/>
        </w:trPr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4360" w:type="dxa"/>
            <w:vMerge w:val="continue"/>
            <w:tcBorders>
              <w:left w:val="single" w:sz="4" w:space="0" w:color="000000"/>
            </w:tcBorders>
          </w:tcPr>
          <w:p>
            <w:pPr/>
          </w:p>
        </w:tc>
      </w:tr>
    </w:tbl>
    <w:tbl>
      <w:tblPr>
        <w:tblStyle w:val="afffff5"/>
        <w:tblpPr w:vertAnchor="text" w:horzAnchor="text" w:tblpX="2744"/>
        <w:tblLook w:val="04A0" w:firstRow="1" w:lastRow="0" w:firstColumn="1" w:lastColumn="0" w:noHBand="0" w:noVBand="1"/>
        <w:tblLayout w:type="autofit"/>
      </w:tblPr>
      <w:tblGrid>
        <w:gridCol w:w="30"/>
      </w:tblGrid>
      <w:tr>
        <w:trPr>
          <w:trHeight w:val="810" w:hRule="atLeast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8"/>
                <w:szCs w:val="28"/>
                <w:rtl w:val="off"/>
              </w:rPr>
            </w:pPr>
          </w:p>
        </w:tc>
      </w:tr>
    </w:tbl>
    <w:p>
      <w:pPr>
        <w:bidi w:val="off"/>
        <w:jc w:val="both"/>
        <w:spacing w:lineRule="auto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tbl>
      <w:tblPr>
        <w:tblStyle w:val="afffff5"/>
        <w:tblpPr w:vertAnchor="text" w:horzAnchor="text" w:tblpX="-286" w:tblpY="-1395"/>
        <w:tblLook w:val="04A0" w:firstRow="1" w:lastRow="0" w:firstColumn="1" w:lastColumn="0" w:noHBand="0" w:noVBand="1"/>
        <w:tblLayout w:type="autofit"/>
      </w:tblPr>
      <w:tblGrid>
        <w:gridCol w:w="150"/>
      </w:tblGrid>
      <w:tr>
        <w:trPr>
          <w:trHeight w:val="45" w:hRule="atLeas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bidi w:val="off"/>
              <w:jc w:val="both"/>
              <w:spacing w:lineRule="auto"/>
              <w:rPr>
                <w:caps w:val="off"/>
                <w:rFonts w:ascii="&quot;Helvetica Neue&quot;" w:eastAsia="&quot;Helvetica Neue&quot;" w:hAnsi="&quot;Helvetica Neue&quot;" w:cs="&quot;Helvetica Neue&quot;"/>
                <w:b w:val="0"/>
                <w:i w:val="0"/>
                <w:sz w:val="22"/>
                <w:rtl w:val="off"/>
              </w:rPr>
            </w:pPr>
          </w:p>
        </w:tc>
      </w:tr>
    </w:tbl>
    <w:p>
      <w:pPr>
        <w:bidi w:val="off"/>
        <w:jc w:val="both"/>
        <w:spacing w:lineRule="auto"/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КМ - конституционная монархия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>АМ - абсолютная монархия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УГ - унитарное государство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>ФГ - федеративное государство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4. Природные условия и ресурсы: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Целом минеральные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ресурсы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региона создают базу для развития тяжёлой промышленности, и отличается большим разнообразием.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бассейны каменного угля, железных и марганцевых руд сосредоточены в Китайской и Индостанской платформах.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горных странах сосредоточены руды цветных и редких металлов.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Главное богатство региона – нефть, которая во многом определяет его роль в международном географическом разделении труда. Запасы нефти сосредоточены в странах Юго-Западной Азии (Саудовской Аравии, Кувейте, Ираке, Иране).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Практическое задание 3:</w:t>
      </w:r>
      <w:r>
        <w:rPr>
          <w:rFonts w:ascii="Times New Roman" w:eastAsia="Times New Roman" w:hAnsi="Times New Roman" w:hint="default"/>
          <w:sz w:val="28"/>
          <w:szCs w:val="28"/>
        </w:rPr>
        <w:t> Используя карты атласа, определите какими видами полезных ископаемых обладают страны Зарубежной Азии.  Задание выполняется в виде составления таблицы и имеет примерно следующий вид (для субрегиона Юго-Западная Азия)</w:t>
      </w:r>
    </w:p>
    <w:p>
      <w:pPr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tbl>
      <w:tblPr>
        <w:tblLook w:val="04A0" w:firstRow="1" w:lastRow="0" w:firstColumn="1" w:lastColumn="0" w:noHBand="0" w:noVBand="1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360"/>
        <w:gridCol w:w="4360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Страны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Виды полезных ископаемых</w:t>
            </w:r>
          </w:p>
          <w:p>
            <w:pPr>
              <w:rPr>
                <w:rFonts w:ascii="Times New Roman" w:eastAsia="Times New Roman" w:hAnsi="Times New Roman" w:hint="default"/>
                <w:b w:val="0"/>
                <w:sz w:val="28"/>
                <w:szCs w:val="28"/>
              </w:rPr>
            </w:pP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Турция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Иран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Ирак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Сирия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Иордания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Саудовская Аравия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Кувейт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ОАЭ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 </w:t>
            </w:r>
          </w:p>
        </w:tc>
      </w:tr>
    </w:tbl>
    <w:p>
      <w:pPr>
        <w:ind w:firstLine="0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</w:t>
      </w:r>
    </w:p>
    <w:p>
      <w:pPr>
        <w:ind w:firstLine="0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Вывод: в большинстве стран субрегиона состав полезных ископаемых отличается сильно выраженной «некомплектностью». Исключение составляют лишь Турция и Иран.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5. Природно-ресурсные предпосылки для развития сельского хозяйства очень разнообразны. Тем не менее для большинства стран существует две главные проблемы: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во-первых, это проблема недостатка земельных ресурсов (наличие больших горных массивов, пустынных и полупустынных пространств). Низкая обеспеченность пашней из расчёта на душу населения в странах региона и составляет всего 0,1-0,2 га.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во-вторых, это проблема рационального использования агроклиматических ресурсов(запасы тепла на большей части территории региона обеспечивают вегетацию растений почти круглый год, а ресурсы влаги распределены крайне неравномерно). Многие страны используют искусственное орошение полей. Здесь находится ¾ орошаемых земель мира.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Домашнее задание: Выполнить 3 практические работы, получаете 3 оценки 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Используйте учебник Максаковского интернет онлайн атлас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33">
    <w:name w:val="Основной шрифт абзаца"/>
    <w:next w:val="a1"/>
  </w:style>
  <w:style w:type="paragraph" w:customStyle="1" w:styleId="47">
    <w:name w:val="Style4"/>
    <w:basedOn w:val="a1"/>
    <w:next w:val="a1"/>
    <w:pPr/>
  </w:style>
  <w:style w:type="paragraph" w:customStyle="1" w:styleId="45">
    <w:name w:val="Style2"/>
    <w:basedOn w:val="a1"/>
    <w:next w:val="a1"/>
    <w:pPr>
      <w:spacing w:line="274" w:lineRule="exact"/>
    </w:pPr>
  </w:style>
  <w:style w:type="paragraph" w:customStyle="1" w:styleId="52">
    <w:name w:val="Style9"/>
    <w:basedOn w:val="a1"/>
    <w:next w:val="a1"/>
    <w:pPr/>
  </w:style>
  <w:style w:type="character" w:customStyle="1" w:styleId="35">
    <w:name w:val="Font Style12"/>
    <w:basedOn w:val="33"/>
    <w:next w:val="a1"/>
    <w:rPr>
      <w:rFonts w:ascii="Times New Roman" w:hAnsi="Times New Roman" w:cs="Times New Roman"/>
      <w:b/>
      <w:bCs/>
      <w:sz w:val="10"/>
      <w:szCs w:val="10"/>
    </w:rPr>
  </w:style>
  <w:style w:type="character" w:customStyle="1" w:styleId="37">
    <w:name w:val="Font Style14"/>
    <w:basedOn w:val="33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3">
    <w:name w:val="Содержимое таблицы"/>
    <w:basedOn w:val="a1"/>
    <w:next w:val="a1"/>
    <w:pPr>
      <w:suppressLineNumbers/>
      <w:suppressLineNumbers/>
    </w:p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1">
    <w:name w:val="Normal"/>
    <w:qFormat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2020-05-04T15:28:51Z</dcterms:modified>
  <cp:version>0900.0000.01</cp:version>
</cp:coreProperties>
</file>