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23" w:rsidRDefault="00AA1B8E">
      <w:pPr>
        <w:rPr>
          <w:rFonts w:ascii="Times New Roman" w:hAnsi="Times New Roman" w:cs="Times New Roman"/>
          <w:sz w:val="28"/>
          <w:szCs w:val="28"/>
        </w:rPr>
      </w:pPr>
      <w:r w:rsidRPr="00AA1B8E">
        <w:rPr>
          <w:rFonts w:ascii="Times New Roman" w:hAnsi="Times New Roman" w:cs="Times New Roman"/>
          <w:sz w:val="28"/>
          <w:szCs w:val="28"/>
        </w:rPr>
        <w:t xml:space="preserve">Добрый день, гр. 44. </w:t>
      </w:r>
      <w:r w:rsidR="00F16012">
        <w:rPr>
          <w:rFonts w:ascii="Times New Roman" w:hAnsi="Times New Roman" w:cs="Times New Roman"/>
          <w:sz w:val="28"/>
          <w:szCs w:val="28"/>
        </w:rPr>
        <w:t>Продолжаем</w:t>
      </w:r>
      <w:r w:rsidRPr="00AA1B8E">
        <w:rPr>
          <w:rFonts w:ascii="Times New Roman" w:hAnsi="Times New Roman" w:cs="Times New Roman"/>
          <w:sz w:val="28"/>
          <w:szCs w:val="28"/>
        </w:rPr>
        <w:t xml:space="preserve"> оформлять лабораторные работы. Выполняем оформ</w:t>
      </w:r>
      <w:r>
        <w:rPr>
          <w:rFonts w:ascii="Times New Roman" w:hAnsi="Times New Roman" w:cs="Times New Roman"/>
          <w:sz w:val="28"/>
          <w:szCs w:val="28"/>
        </w:rPr>
        <w:t>ление на листах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AA1B8E">
        <w:rPr>
          <w:rFonts w:ascii="Times New Roman" w:hAnsi="Times New Roman" w:cs="Times New Roman"/>
          <w:sz w:val="28"/>
          <w:szCs w:val="28"/>
        </w:rPr>
        <w:t xml:space="preserve"> 10.04</w:t>
      </w:r>
      <w:r w:rsidR="00F16012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AA1B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</w:t>
      </w:r>
      <w:proofErr w:type="spellEnd"/>
      <w:r>
        <w:rPr>
          <w:rFonts w:ascii="Times New Roman" w:hAnsi="Times New Roman" w:cs="Times New Roman"/>
          <w:sz w:val="28"/>
          <w:szCs w:val="28"/>
        </w:rPr>
        <w:t>. Мамонова Н.В.</w:t>
      </w:r>
      <w:r w:rsidR="00F16012">
        <w:rPr>
          <w:rFonts w:ascii="Times New Roman" w:hAnsi="Times New Roman" w:cs="Times New Roman"/>
          <w:sz w:val="28"/>
          <w:szCs w:val="28"/>
        </w:rPr>
        <w:t xml:space="preserve"> Спасибо всем, кто вовремя реагирует на задания. Так держать…</w:t>
      </w:r>
    </w:p>
    <w:p w:rsidR="00AA1B8E" w:rsidRPr="00AA1B8E" w:rsidRDefault="00AA1B8E" w:rsidP="00AA1B8E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6"/>
          <w:szCs w:val="26"/>
          <w:lang w:eastAsia="ru-RU"/>
        </w:rPr>
        <w:t>Лабораторная работа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6"/>
          <w:szCs w:val="26"/>
          <w:lang w:eastAsia="ru-RU"/>
        </w:rPr>
        <w:t xml:space="preserve"> № 1.</w:t>
      </w:r>
    </w:p>
    <w:p w:rsidR="00AA1B8E" w:rsidRPr="00AA1B8E" w:rsidRDefault="00AA1B8E" w:rsidP="00AA1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A1B8E" w:rsidRPr="00AA1B8E" w:rsidRDefault="00AA1B8E" w:rsidP="00AA1B8E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Тема: Испытания металлов на твердость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.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 работы: ознакомиться с существующими методами определения твердости, получить практические навыки в определении твердости конструкционных материалов и пересчете чисел твердости, определяемых различными методами; 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научиться статистически достоверно оценивать</w:t>
      </w:r>
      <w:proofErr w:type="gram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величину временного сопротивления материала без разрушения образца. Освоить принципы работы твердомеров типа ТВ 5004 (Бринелль) и ТК (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Роквелл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и приобрести навыки определения твердости материалов по Бринеллю,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Роквеллу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Виккерсу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I. НЕОБХОДИМЫЕ ПРИБОРЫ И ОБОРУДОВАНИЕ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Прибор Бринелля (твердомер ТБ 5004)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Прибор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Роквелла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(твердомер ТК)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II. ТЕОРЕТИЧЕСКИЕ ОСНОВЫ РАБОТЫ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Определение твердости по Бринеллю.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Бринелль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Бринелль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(</w:t>
      </w:r>
      <w:proofErr w:type="spellStart"/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Brinell</w:t>
      </w:r>
      <w:proofErr w:type="spellEnd"/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)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Юхан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Август (1849–1925), шведский инженер. Труды по металлургии стали и определению твердости металлов и сплавов. Метод определения твердости металлов, названный его именем, предложил в 1900 г.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 измерения твердости металлов по Бринеллю заключается во вдавливании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индентора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(шарика) стального или из твердого сплава диаметром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D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образец (изделие) под действием силы, приложенной перпендикулярно поверхности образца в течение определенного времени, и измерении диаметра отпечатка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d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после снятия силы (рис. 1).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400300" cy="2343150"/>
            <wp:effectExtent l="19050" t="0" r="0" b="0"/>
            <wp:docPr id="1" name="Рисунок 1" descr="Ри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Рис. 1.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Вид деформированного образца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вдавливания шарика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 Измерение твердости по методу Бринелля осуществляется на твердомере типа ТВ 5004 в соответствии с 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ГОСТом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23677-79. В качестве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индентора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применяются шарики диаметром 1; 2,5; 5,0 и 10 мм, изготовленные из термически обработанной высокоуглеродистой стали с чистотой поверхности по двенадцатому классу (ГОСТ 2789-73). Выбор диаметра шарика, нагрузки и времени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нагружения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производится по таблице 1.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Показателем твердости является число твердости по Бринеллю, обозначаемое НВ и представляющее собой отношение  усилия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F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 площади поверхности шарового сегмента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A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057400" cy="342900"/>
            <wp:effectExtent l="19050" t="0" r="0" b="0"/>
            <wp:docPr id="2" name="Рисунок 2" descr="http://www.soprotmat.ru/lab18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protmat.ru/lab18.files/image00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047875" cy="180975"/>
            <wp:effectExtent l="19050" t="0" r="9525" b="0"/>
            <wp:docPr id="3" name="Рисунок 3" descr="http://www.soprotmat.ru/lab18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protmat.ru/lab18.files/image00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 </w:t>
      </w:r>
      <w:proofErr w:type="spellStart"/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h</w:t>
      </w:r>
      <w:proofErr w:type="spellEnd"/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глубина отпечатка, 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</w:t>
      </w:r>
      <w:proofErr w:type="gram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     D 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диаметр шарика, 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</w:t>
      </w:r>
      <w:proofErr w:type="gram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171700" cy="390525"/>
            <wp:effectExtent l="19050" t="0" r="0" b="0"/>
            <wp:docPr id="4" name="Рисунок 4" descr="http://www.soprotmat.ru/lab18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protmat.ru/lab18.files/image00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 </w:t>
      </w:r>
      <w:proofErr w:type="spellStart"/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d</w:t>
      </w:r>
      <w:proofErr w:type="spellEnd"/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диаметр отпечатка, 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</w:t>
      </w:r>
      <w:proofErr w:type="gram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Отсюда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562225" cy="390525"/>
            <wp:effectExtent l="19050" t="0" r="9525" b="0"/>
            <wp:docPr id="5" name="Рисунок 5" descr="http://www.soprotmat.ru/lab18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oprotmat.ru/lab18.files/image00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Тогда число твердости НВ рассчитывается по формуле: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752725" cy="419100"/>
            <wp:effectExtent l="19050" t="0" r="9525" b="0"/>
            <wp:docPr id="6" name="Рисунок 6" descr="http://www.soprotmat.ru/lab18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oprotmat.ru/lab18.files/image00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Твердость по Бринеллю выражается в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кГ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/мм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2</w:t>
      </w:r>
      <w:proofErr w:type="gram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но по стандарту размерность обычно не записывается. В то же время 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системе</w:t>
      </w:r>
      <w:proofErr w:type="gram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СИ она указывается – МПа. Верхний предел измерения твердости этим методом составляет НВ 450, так как при испытании более твердых материалов происходит деформация шарика, превышающая стандартизированный допуск.</w:t>
      </w:r>
    </w:p>
    <w:p w:rsidR="00AA1B8E" w:rsidRPr="00AA1B8E" w:rsidRDefault="00AA1B8E" w:rsidP="00AA1B8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получения одинаковых значений твердости при испытаниях одного и того же металла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инденторами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разных диаметров необходимо, чтобы соблюдалось соотношение между размером шарика и действующей на него нагрузкой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K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F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2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Отношение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</w:t>
      </w:r>
      <w:proofErr w:type="gram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подбирается из ряда значений, приводимых в 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ГОСТе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 учетом свойств испытуемого металла так, чтобы соотношение между диаметрами шарика и отпечатка было в некотором диапазоне (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=0,24…0,6). Например, для сталей и высокопрочных сплавов ГОСТ рекомендует принимать отношение 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K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=30, для цветных металлов и сплавов  принимают 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K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=10, а для очень мягких металлов 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K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=2,5 (подшипниковые сплавы) или 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K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=1 (свинец, олово).</w:t>
      </w:r>
    </w:p>
    <w:p w:rsidR="00AA1B8E" w:rsidRPr="00AA1B8E" w:rsidRDefault="00AA1B8E" w:rsidP="00AA1B8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практике по диаметру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d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отпечатка находят число твердости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НВ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используя таблицы, составленные для каждого из рекомендуемых соотношений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F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D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Современное оборудование позволяет находить твердость по-другому, – определяя глубину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h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внедрения шарика (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</w:t>
      </w:r>
      <w:proofErr w:type="gram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рис. 1).</w:t>
      </w:r>
    </w:p>
    <w:p w:rsidR="00AA1B8E" w:rsidRPr="00AA1B8E" w:rsidRDefault="00AA1B8E" w:rsidP="00AA1B8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Для испытаний более твердых материалов используют либо шарик из твердого сплава, либо другие методы, например,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Виккерса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или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Роквелла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где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индентором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служит алмаз – самый твердый материал 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</w:t>
      </w:r>
      <w:proofErr w:type="gram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известных в природе.</w:t>
      </w:r>
    </w:p>
    <w:p w:rsidR="00AA1B8E" w:rsidRPr="00AA1B8E" w:rsidRDefault="00AA1B8E" w:rsidP="00AA1B8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Твердость по Бринеллю обозначают символом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НВ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Hardness </w:t>
      </w:r>
      <w:proofErr w:type="spellStart"/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Brinell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или 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HBW 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Hardness </w:t>
      </w:r>
      <w:proofErr w:type="spellStart"/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Brinell</w:t>
      </w:r>
      <w:proofErr w:type="spellEnd"/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 Wolfram carbide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):</w:t>
      </w:r>
    </w:p>
    <w:p w:rsidR="00AA1B8E" w:rsidRPr="00AA1B8E" w:rsidRDefault="00AA1B8E" w:rsidP="00AA1B8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 НВ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при применении стального шарика (твердость детали менее 450 единиц);</w:t>
      </w:r>
    </w:p>
    <w:p w:rsidR="00AA1B8E" w:rsidRPr="00AA1B8E" w:rsidRDefault="00AA1B8E" w:rsidP="00AA1B8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HBW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–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 применении шарика из твердого сплава (твердость детали более 450 единиц).</w:t>
      </w:r>
    </w:p>
    <w:p w:rsidR="00AA1B8E" w:rsidRPr="00AA1B8E" w:rsidRDefault="00AA1B8E" w:rsidP="00AA1B8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Символу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НВ</w:t>
      </w:r>
      <w:r w:rsidRPr="00AA1B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HBW</w:t>
      </w:r>
      <w:r w:rsidRPr="00AA1B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)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предшествует числовое значение твердости (с округлением до трех значащих разрядов), а после символа указывают диаметр шарика [мм], значение приложенной силы [кгс], продолжительность выдержки [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], если 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она</w:t>
      </w:r>
      <w:proofErr w:type="gram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отличается от 10 или 15 секунд.</w:t>
      </w:r>
    </w:p>
    <w:p w:rsidR="00AA1B8E" w:rsidRPr="00AA1B8E" w:rsidRDefault="00AA1B8E" w:rsidP="00AA1B8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Примеры обозначений:</w:t>
      </w:r>
    </w:p>
    <w:p w:rsidR="00AA1B8E" w:rsidRPr="00AA1B8E" w:rsidRDefault="00AA1B8E" w:rsidP="00AA1B8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- 250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НВ 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5/750</w:t>
      </w:r>
      <w:r w:rsidRPr="00AA1B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твердость по Бринеллю 250, измеренная стальным шариком диаметром 5 мм, при  нагрузке 750 кгс (7355 Н) и продолжительности выдержки 10-15 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A1B8E" w:rsidRPr="00AA1B8E" w:rsidRDefault="00AA1B8E" w:rsidP="00AA1B8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- 575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HBW 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2,5/187,5/30</w:t>
      </w:r>
      <w:r w:rsidRPr="00AA1B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твердость по Бринеллю 575, измеренная шариком из твердого сплава диаметром 2,5 мм, при нагрузке 187,5 кгс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(1839 Н) и продолжительности выдержки под нагрузкой 30 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A1B8E" w:rsidRPr="00AA1B8E" w:rsidRDefault="00AA1B8E" w:rsidP="00AA1B8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определении твердости стальным шариком (или шариком из твердого сплава) диаметром 10 мм при нагрузке 3000 кгс (29420 Н) и продолжительности выдержки 10…15 секунд твердость по Бринеллю обозначают только числовым значением твердости и символом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НВ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или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HBW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(например, 300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НВ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Устройство и принцип работы прибора Бринелля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рис. 2 приведена принципиальная схема твердомера ТБ 5004.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124200" cy="3238500"/>
            <wp:effectExtent l="19050" t="0" r="0" b="0"/>
            <wp:docPr id="13" name="Рисунок 13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Рис.2.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Схема прибора для определения твердости по Бринеллю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частями прибора являются: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Шпиндель 6, в который вставляются 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сменные</w:t>
      </w:r>
      <w:proofErr w:type="gram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инденторы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 шариками разного диаметра.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Подвеска 18 с набором грузов.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Маховик 1, перемещающий опорный столик 5 с образцом в вертикальном направлении.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Система рычагов 12, 15, 17-19, передающих нагрузку на испытуемый образец.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Электродвигатель 21, обеспечивающий работу прибора.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Пульт управления с переключателями режима работы, сигнальными лампами “контроль”, “выдержка”, “сеть”, реле времени.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Кнопки “пуск” и “стоп”.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Требования к образцам и приборам при определении твердости оговариваются 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соответствующими</w:t>
      </w:r>
      <w:proofErr w:type="gram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ГОСТами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Стандарты предусматривают следующие основные требования при измерении твердости.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 Поверхность испытуемого образца должна быть тщательно подготовлена и свободна от окалины и других посторонних веществ. При подготовке поверхности надо принять меры предосторожности против возможного наклепа или нагрева поверхностного слоя в результате механической обработки.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 Испытуемый образец должен быть без короблений и лежать на столике прибора устойчиво. Необходимо обращать особое внимание на качество поверхности образца не только со стороны внедрения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индентора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но и с обратной стороны, которой он кладется на предметный столик прибора – она должна быть ровной, без местных выступов (например, не допускается с этой стороны наличие даже мелких отпечатков от шарика, конуса или пирамиды). Это объясняется тем, что под действием нагрузки выступы будут сминаться, что приведет к кажущемуся уменьшению твердости в результате увеличения размера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h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Требования этого пункта имеют особое значение при определении твердости по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Роквеллу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приборе Бринелля проводятся 5 замеров. Образец с нанесенными  отпечатками снимается с предметного столика пресса Бринелля. Измерение диаметров отпечатков производится с помощью специального отсчетного микроскопа на лабораторном столе. На рис. 3 показано изображение отпечатка, видимое в микроскоп (увеличение микроскопа обычно равно 24). Один из краев отпечатка необходимо совместить с нулевым штрихом шкалы и произвести отсчет по шкале с точностью до 1/2 деления. Видимое в микроскоп расстояние между большими штрихами соответствует одному миллиметру. 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Полученный размер диаметра отпечатка записывают сразу в миллиметрах. Так, на рис. 3 имеем: 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=3,40 мм. </w:t>
      </w:r>
      <w:r w:rsidRPr="00AA1B8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895600" cy="2895600"/>
            <wp:effectExtent l="19050" t="0" r="0" b="0"/>
            <wp:docPr id="14" name="Рисунок 14" descr="Рис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ис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Рис.3.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Изображение отпечатка, видимое в микроскоп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Определение твердости по </w:t>
      </w:r>
      <w:proofErr w:type="spellStart"/>
      <w:r w:rsidRPr="00AA1B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Роквеллу</w:t>
      </w:r>
      <w:proofErr w:type="spellEnd"/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качестве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индентора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используется алмазный конус с углом при вершине 120° и радиусом закругления 0,2 мм (шкалы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</w:t>
      </w:r>
      <w:proofErr w:type="gram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 С) и стальной шарик диаметром 1,5875 мм (1/16 дюйма) (шкала 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B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 Процесс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нагружения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осуществляется под действием двух последовательно прилагаемых нагрузок – 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предварительной</w:t>
      </w:r>
      <w:proofErr w:type="gram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F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0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=98 Н (10кГс) и общей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F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1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F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F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0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F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1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                                               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Предварительная  нагрузка подается вручную и не снимается до конца испытаний, что обеспечивает повышенную точность измерений, т.к. исключается влияние вибраций и поверхностного слоя.</w:t>
      </w:r>
    </w:p>
    <w:p w:rsidR="00AA1B8E" w:rsidRPr="00AA1B8E" w:rsidRDefault="00AA1B8E" w:rsidP="00AA1B8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змерение твердости по шкале С.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Если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индентор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внедрится в материал на глубину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h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=0,2 мм, то твердость такого материала условно считается равной нулю. Если же под действием той же нагрузки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F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индентор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не внедряется в материал (пластическая деформация равна нулю), то твердость такого материала принято считать равной 100 единицам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Роквелла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Таким образом, за единицу твердости принята величина, соответствующая перемещению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индентора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 0,002 мм. Применение такой «перевернутой» шкалы (рис. 2) обосновано тем, что глубина внедрения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индентора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обратно пропорциональна твердости материала. Поэтому твердость материала будет характеризоваться величиной (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h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e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мм) или числом делений по шкале:</w:t>
      </w:r>
    </w:p>
    <w:p w:rsidR="00AA1B8E" w:rsidRPr="00AA1B8E" w:rsidRDefault="00AA1B8E" w:rsidP="00AA1B8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190750" cy="342900"/>
            <wp:effectExtent l="19050" t="0" r="0" b="0"/>
            <wp:docPr id="17" name="Рисунок 17" descr="http://www.soprotmat.ru/lab18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oprotmat.ru/lab18.files/image00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формулы (6) очевидно, что «единица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Роквелла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(в отличие от единиц Бринелля и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Виккерса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оказывается величиной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безразмерной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A1B8E" w:rsidRPr="00AA1B8E" w:rsidRDefault="00AA1B8E" w:rsidP="00AA1B8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4010025" cy="1914525"/>
            <wp:effectExtent l="19050" t="0" r="9525" b="0"/>
            <wp:docPr id="18" name="Рисунок 18" descr="Ри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ис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8E" w:rsidRPr="00AA1B8E" w:rsidRDefault="00AA1B8E" w:rsidP="00AA1B8E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Рис. 4.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Схема определения твердости методом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Роквелла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(шкалы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</w:t>
      </w:r>
      <w:proofErr w:type="gram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AA1B8E" w:rsidRPr="00AA1B8E" w:rsidRDefault="00AA1B8E" w:rsidP="00AA1B8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Измерение твердости по шкале А.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Шкалу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идентична</w:t>
      </w:r>
      <w:proofErr w:type="gram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шкале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применяют для измерения твердости преимущественно листовых материалов. Из-за снижения нагрузки на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индентор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2,5 раза и уменьшения вследствие этого глубины проникновения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индентора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минимальную толщину испытуемого образца или изделия удается снизить до 0,4...0,7 мм.</w:t>
      </w:r>
    </w:p>
    <w:p w:rsidR="00AA1B8E" w:rsidRPr="00AA1B8E" w:rsidRDefault="00AA1B8E" w:rsidP="00AA1B8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Измерение твердости по шкале В.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Для многих мягких металлов и сплавов внедрение алмазного конуса может оказаться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бóльшим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чем 0,2 мм. В этом случае число твердости, вычисляемое по формуле (6), станет отрицательным (поскольку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h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&lt;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e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что лишено физического смысла и не может характеризовать твердость материала. В этих случаях применяют следующие меры: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заменяют 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конический</w:t>
      </w:r>
      <w:proofErr w:type="gram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индентор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 сферический;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снижают нагрузку на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индентор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1,5 раза (со 150 кгс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100 кгс);</w:t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смещают шкалу на 30 единиц (шкала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</w:t>
      </w:r>
      <w:proofErr w:type="gram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красного цвета).</w:t>
      </w:r>
    </w:p>
    <w:p w:rsidR="00AA1B8E" w:rsidRPr="00AA1B8E" w:rsidRDefault="00AA1B8E" w:rsidP="00AA1B8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Число твердости определяется при этом по формуле:</w:t>
      </w:r>
    </w:p>
    <w:p w:rsidR="00AA1B8E" w:rsidRPr="00AA1B8E" w:rsidRDefault="00AA1B8E" w:rsidP="00AA1B8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514600" cy="342900"/>
            <wp:effectExtent l="19050" t="0" r="0" b="0"/>
            <wp:docPr id="19" name="Рисунок 19" descr="http://www.soprotmat.ru/lab18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oprotmat.ru/lab18.files/image01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8E" w:rsidRPr="00AA1B8E" w:rsidRDefault="00AA1B8E" w:rsidP="00AA1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Шкала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</w:t>
      </w:r>
      <w:proofErr w:type="gram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применяется для измерения твердости не закаленной стали, бронзы, латуней и других нетвердых материалов. Для твердых – например, закаленные стали, используется шкала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</w:t>
      </w:r>
      <w:proofErr w:type="gramEnd"/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вдавливание осуществляется  алмазным конусом под нагрузкой 1470 Н (150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кГс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 Испытания очень твердых материалов и тонких поверхностных слоев также осуществляется алмазным конусом, но по шкале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</w:t>
      </w:r>
      <w:proofErr w:type="gram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под нагрузкой 588 Н (60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кГс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 К достоинствам метода относится простота определения твердости, высокая производительность, возможность полной автоматизации процедуры испытаний. К недостаткам –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многошкальность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отсутствие геометрического подобия отпечатков, условность и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безразмерность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величины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proofErr w:type="gram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</w:t>
      </w:r>
      <w:proofErr w:type="gram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 сравнительно низкая чувствительность. Все эти факторы делают метод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Роквелла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лишь средством быстрого упрощенного технического контроля. </w:t>
      </w:r>
    </w:p>
    <w:p w:rsidR="00AA1B8E" w:rsidRPr="00AA1B8E" w:rsidRDefault="00AA1B8E" w:rsidP="00AA1B8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Твердость указывается в единицах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HR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proofErr w:type="spellStart"/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Hardness</w:t>
      </w:r>
      <w:proofErr w:type="spellEnd"/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proofErr w:type="spellStart"/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Rockwell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с добавлением обозначения шкалы (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HRA, HRB, HRC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которому предшествует числовое значение твердости из трех значащих цифр.</w:t>
      </w:r>
    </w:p>
    <w:p w:rsidR="00AA1B8E" w:rsidRPr="00AA1B8E" w:rsidRDefault="00AA1B8E" w:rsidP="00AA1B8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Пример обозначения: 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61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AA1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HRC</w:t>
      </w:r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твердость 61 единиц </w:t>
      </w:r>
      <w:proofErr w:type="spellStart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Роквелла</w:t>
      </w:r>
      <w:proofErr w:type="spellEnd"/>
      <w:r w:rsidRPr="00AA1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 шкале С.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У</w:t>
      </w:r>
      <w:r w:rsidRPr="00EA455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стройство прибора </w:t>
      </w:r>
      <w:proofErr w:type="spellStart"/>
      <w:r w:rsidRPr="00EA455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Роквелла</w:t>
      </w:r>
      <w:proofErr w:type="spellEnd"/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рис.6 приведена принципиальная схема твердомера </w:t>
      </w:r>
      <w:proofErr w:type="spellStart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Роквелла</w:t>
      </w:r>
      <w:proofErr w:type="spellEnd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proofErr w:type="gramStart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его частями являются: поперечина 1, подвеска 2, шток амортизатора 3, рычаг 4, рукоятка 5, винт 6, крышка 7, рычажок 8, призма 9,  шпиндель 10 с закрепленным на его конце </w:t>
      </w:r>
      <w:proofErr w:type="spellStart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индентором</w:t>
      </w:r>
      <w:proofErr w:type="spellEnd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маховик 11 для перемещения образца, шпонка 12, направляющая втулка 13, станина 14, грузы 15, стойка 16, подъемный винт 17, масляный амортизатор 18, пружина 19, индикатор с двумя шкалами – черной</w:t>
      </w:r>
      <w:proofErr w:type="gramEnd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r w:rsidRPr="00EA455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</w:t>
      </w: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и красной (</w:t>
      </w:r>
      <w:r w:rsidRPr="00EA455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</w:t>
      </w: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 При этом с большой стрелкой индикатора всегда совмещается нуль черной шкалы, и ни в коем случае – красной. Барабан для точной установки шкалы индикатора на нуль, электромотор, обеспечивающий работу прибора.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Перевод значений твердости HR в НВ провести по таблице 3.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743450" cy="3600450"/>
            <wp:effectExtent l="19050" t="0" r="0" b="0"/>
            <wp:docPr id="23" name="Рисунок 23" descr="image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0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Рис.6.</w:t>
      </w: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Прибор для измерения твердости по </w:t>
      </w:r>
      <w:proofErr w:type="spellStart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Роквеллу</w:t>
      </w:r>
      <w:proofErr w:type="spellEnd"/>
    </w:p>
    <w:p w:rsidR="00EA4551" w:rsidRPr="00EA4551" w:rsidRDefault="00EA4551" w:rsidP="00EA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Вопросы для подготовки к защите работы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Дайте определение понятию «твердость материала».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Перечислите способы определения твердости материала.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Имеется ли связь между числами твердости, найденными различными методами? Приведите ориентировочно эти зависимости.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Имеется ли связь между твердостью материала и его механическими характеристиками? Укажите эти зависимости.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Расскажите последовательность операций и основные требования ГОСТ при определении твердости по Бринеллю, </w:t>
      </w:r>
      <w:proofErr w:type="spellStart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Роквеллу</w:t>
      </w:r>
      <w:proofErr w:type="spellEnd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 каким методам относятся испытания на твердость?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каких единицах 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меряется твердость по Бринеллю</w:t>
      </w: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 </w:t>
      </w:r>
      <w:proofErr w:type="spellStart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Роквеллу</w:t>
      </w:r>
      <w:proofErr w:type="spellEnd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чем состоят достоинства и недостатки обоих методов?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Как определяется твердость по Бринеллю и </w:t>
      </w:r>
      <w:proofErr w:type="spellStart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Роквеллу</w:t>
      </w:r>
      <w:proofErr w:type="spellEnd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Почему используются разные </w:t>
      </w:r>
      <w:proofErr w:type="spellStart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инденторы</w:t>
      </w:r>
      <w:proofErr w:type="spellEnd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Для чего применяется </w:t>
      </w:r>
      <w:proofErr w:type="gramStart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предварительное</w:t>
      </w:r>
      <w:proofErr w:type="gramEnd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нагружение</w:t>
      </w:r>
      <w:proofErr w:type="spellEnd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методе </w:t>
      </w:r>
      <w:proofErr w:type="spellStart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Роквелла</w:t>
      </w:r>
      <w:proofErr w:type="spellEnd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Как работает индикатор твердомера </w:t>
      </w:r>
      <w:proofErr w:type="spellStart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Роквелла</w:t>
      </w:r>
      <w:proofErr w:type="spellEnd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Расскажите, пользуясь схемой, устройство пресса Бринелля.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Каковы форма, размеры и материал </w:t>
      </w:r>
      <w:proofErr w:type="spellStart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индентора</w:t>
      </w:r>
      <w:proofErr w:type="spellEnd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(наконечника) при определении твердости по Бринеллю, </w:t>
      </w:r>
      <w:proofErr w:type="spellStart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Роквеллу</w:t>
      </w:r>
      <w:proofErr w:type="spellEnd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Каковы размерности чисел твердости, найденных методами Бринелля, </w:t>
      </w:r>
      <w:proofErr w:type="spellStart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Роквелла</w:t>
      </w:r>
      <w:proofErr w:type="spellEnd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Приведите зависимость между временным сопротивлением для углеродистой стали и ее твердостью по Бринеллю.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Приведите зависимость </w:t>
      </w:r>
      <w:proofErr w:type="gramStart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</w:t>
      </w:r>
      <w:proofErr w:type="gramEnd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σ</w:t>
      </w:r>
      <w:proofErr w:type="gramStart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в</w:t>
      </w:r>
      <w:proofErr w:type="spellEnd"/>
      <w:proofErr w:type="gramEnd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 </w:t>
      </w:r>
      <w:r w:rsidRPr="00EA455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НВ</w:t>
      </w: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для цветных металлов.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Что понимается под твердостью по </w:t>
      </w:r>
      <w:proofErr w:type="spellStart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Роквеллу</w:t>
      </w:r>
      <w:proofErr w:type="spellEnd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Пользуясь схемой, расскажите устройство прибора </w:t>
      </w:r>
      <w:proofErr w:type="spellStart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Роквелла</w:t>
      </w:r>
      <w:proofErr w:type="spellEnd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Укажите размерности всех изучаемых чисел твердости.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какой формуле подсчитывается твердость по </w:t>
      </w:r>
      <w:proofErr w:type="spellStart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Виккерсу</w:t>
      </w:r>
      <w:proofErr w:type="spellEnd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 Какую форму имеет </w:t>
      </w:r>
      <w:proofErr w:type="spellStart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индентор</w:t>
      </w:r>
      <w:proofErr w:type="spellEnd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 определении твердости этим методом?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чем заключается метод определения твердости по </w:t>
      </w:r>
      <w:proofErr w:type="spellStart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Шору</w:t>
      </w:r>
      <w:proofErr w:type="spellEnd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</w:p>
    <w:p w:rsidR="00EA4551" w:rsidRPr="00EA4551" w:rsidRDefault="00EA4551" w:rsidP="00EA45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чем сущность определения твердости методом </w:t>
      </w:r>
      <w:proofErr w:type="spellStart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Польди</w:t>
      </w:r>
      <w:proofErr w:type="spellEnd"/>
      <w:r w:rsidRPr="00EA4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</w:p>
    <w:p w:rsidR="00AA1B8E" w:rsidRPr="00AA1B8E" w:rsidRDefault="00AA1B8E" w:rsidP="00AA1B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AA1B8E" w:rsidRPr="00AA1B8E" w:rsidSect="002F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B8E"/>
    <w:rsid w:val="002F2523"/>
    <w:rsid w:val="00554B79"/>
    <w:rsid w:val="00AA1B8E"/>
    <w:rsid w:val="00EA4551"/>
    <w:rsid w:val="00F1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23"/>
  </w:style>
  <w:style w:type="paragraph" w:styleId="1">
    <w:name w:val="heading 1"/>
    <w:basedOn w:val="a"/>
    <w:link w:val="10"/>
    <w:uiPriority w:val="9"/>
    <w:qFormat/>
    <w:rsid w:val="00AA1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rame">
    <w:name w:val="grame"/>
    <w:basedOn w:val="a0"/>
    <w:rsid w:val="00AA1B8E"/>
  </w:style>
  <w:style w:type="character" w:customStyle="1" w:styleId="spelle">
    <w:name w:val="spelle"/>
    <w:basedOn w:val="a0"/>
    <w:rsid w:val="00AA1B8E"/>
  </w:style>
  <w:style w:type="paragraph" w:styleId="a3">
    <w:name w:val="Balloon Text"/>
    <w:basedOn w:val="a"/>
    <w:link w:val="a4"/>
    <w:uiPriority w:val="99"/>
    <w:semiHidden/>
    <w:unhideWhenUsed/>
    <w:rsid w:val="00AA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B8E"/>
    <w:rPr>
      <w:rFonts w:ascii="Tahoma" w:hAnsi="Tahoma" w:cs="Tahoma"/>
      <w:sz w:val="16"/>
      <w:szCs w:val="16"/>
    </w:rPr>
  </w:style>
  <w:style w:type="paragraph" w:customStyle="1" w:styleId="fr1">
    <w:name w:val="fr1"/>
    <w:basedOn w:val="a"/>
    <w:rsid w:val="00AA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07D90-AF6D-42DF-8672-CED921B5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1986</Words>
  <Characters>11325</Characters>
  <Application>Microsoft Office Word</Application>
  <DocSecurity>0</DocSecurity>
  <Lines>94</Lines>
  <Paragraphs>26</Paragraphs>
  <ScaleCrop>false</ScaleCrop>
  <Company/>
  <LinksUpToDate>false</LinksUpToDate>
  <CharactersWithSpaces>13285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lenov0</dc:creator>
  <cp:lastModifiedBy>Наталья Мамонова</cp:lastModifiedBy>
  <cp:revision>2</cp:revision>
  <dcterms:created xsi:type="dcterms:W3CDTF">2020-04-09T13:25:00Z</dcterms:created>
  <dcterms:modified xsi:type="dcterms:W3CDTF">2020-04-09T13:25:00Z</dcterms:modified>
</cp:coreProperties>
</file>