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b/>
        </w:rPr>
        <w:t>§ 4. Кристаллизация металла шва (МШ) и образование трещин.</w:t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К р и с </w:t>
      </w:r>
      <w:proofErr w:type="gramStart"/>
      <w:r>
        <w:rPr>
          <w:rFonts w:ascii="Times New Roman" w:hAnsi="Times New Roman"/>
          <w:b/>
        </w:rPr>
        <w:t>т</w:t>
      </w:r>
      <w:proofErr w:type="gramEnd"/>
      <w:r>
        <w:rPr>
          <w:rFonts w:ascii="Times New Roman" w:hAnsi="Times New Roman"/>
          <w:b/>
        </w:rPr>
        <w:t xml:space="preserve"> а л </w:t>
      </w:r>
      <w:proofErr w:type="spellStart"/>
      <w:r>
        <w:rPr>
          <w:rFonts w:ascii="Times New Roman" w:hAnsi="Times New Roman"/>
          <w:b/>
        </w:rPr>
        <w:t>л</w:t>
      </w:r>
      <w:proofErr w:type="spellEnd"/>
      <w:r>
        <w:rPr>
          <w:rFonts w:ascii="Times New Roman" w:hAnsi="Times New Roman"/>
          <w:b/>
        </w:rPr>
        <w:t xml:space="preserve"> и з а ц и е й - </w:t>
      </w:r>
      <w:r>
        <w:rPr>
          <w:rFonts w:ascii="Times New Roman" w:hAnsi="Times New Roman"/>
        </w:rPr>
        <w:t>называется процесс образования зерен из расплавленного металла при переходе его из жидкого состояние в твердое.</w:t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Различают </w:t>
      </w:r>
      <w:r>
        <w:rPr>
          <w:rFonts w:ascii="Times New Roman" w:hAnsi="Times New Roman"/>
          <w:b/>
          <w:i/>
        </w:rPr>
        <w:t>первичную</w:t>
      </w:r>
      <w:r>
        <w:rPr>
          <w:rFonts w:ascii="Times New Roman" w:hAnsi="Times New Roman"/>
        </w:rPr>
        <w:t xml:space="preserve"> и </w:t>
      </w:r>
      <w:r>
        <w:rPr>
          <w:rFonts w:ascii="Times New Roman" w:hAnsi="Times New Roman"/>
          <w:b/>
          <w:i/>
        </w:rPr>
        <w:t>вторичную</w:t>
      </w:r>
      <w:r>
        <w:rPr>
          <w:rFonts w:ascii="Times New Roman" w:hAnsi="Times New Roman"/>
        </w:rPr>
        <w:t xml:space="preserve"> кристаллизации.</w:t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b/>
          <w:i/>
        </w:rPr>
        <w:t xml:space="preserve">Первичная кристаллизация </w:t>
      </w:r>
      <w:r>
        <w:rPr>
          <w:rFonts w:ascii="Times New Roman" w:hAnsi="Times New Roman"/>
          <w:b/>
        </w:rPr>
        <w:t>(ПК)</w:t>
      </w:r>
      <w:r>
        <w:rPr>
          <w:rFonts w:ascii="Times New Roman" w:hAnsi="Times New Roman"/>
        </w:rPr>
        <w:t xml:space="preserve"> протекает при высоких скоростях охлаждения и перехода металла из жидкого состояния в твердое.</w:t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b/>
          <w:i/>
        </w:rPr>
        <w:t xml:space="preserve">Вторичная кристаллизация </w:t>
      </w:r>
      <w:r>
        <w:rPr>
          <w:rFonts w:ascii="Times New Roman" w:hAnsi="Times New Roman"/>
          <w:b/>
        </w:rPr>
        <w:t>(ВК)</w:t>
      </w:r>
      <w:r>
        <w:rPr>
          <w:rFonts w:ascii="Times New Roman" w:hAnsi="Times New Roman"/>
        </w:rPr>
        <w:t xml:space="preserve"> начинается с распада первичной структуры в результате структурных превращений и заканчивается при низких температурах образованием устойчивых нераспадающихся микроструктур.</w:t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Температуры, при которых происходят первичная (ПК) и вторичная (ВК) кристаллизации стали, и характер образующейся при этом структуры металла в зависимости от содержания углерода определяют по </w:t>
      </w:r>
      <w:r>
        <w:rPr>
          <w:rFonts w:ascii="Times New Roman" w:hAnsi="Times New Roman"/>
          <w:b/>
          <w:i/>
        </w:rPr>
        <w:t>диаграмме состояния ж е л е з о - у г л е р о д.</w:t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</w:rPr>
        <w:t>Процесс кристаллизации состоит из двух стадий:</w:t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образование центров кристаллизации или зародышей (зачатков);</w:t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рост кристаллов вокруг этих центров.</w:t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Различают </w:t>
      </w:r>
      <w:r>
        <w:rPr>
          <w:rFonts w:ascii="Times New Roman" w:hAnsi="Times New Roman"/>
          <w:b/>
          <w:i/>
        </w:rPr>
        <w:t>самопроизвольное</w:t>
      </w:r>
      <w:r>
        <w:rPr>
          <w:rFonts w:ascii="Times New Roman" w:hAnsi="Times New Roman"/>
        </w:rPr>
        <w:t xml:space="preserve"> и </w:t>
      </w:r>
      <w:r>
        <w:rPr>
          <w:rFonts w:ascii="Times New Roman" w:hAnsi="Times New Roman"/>
          <w:b/>
          <w:i/>
        </w:rPr>
        <w:t>несамопроизвольное</w:t>
      </w:r>
      <w:r>
        <w:rPr>
          <w:rFonts w:ascii="Times New Roman" w:hAnsi="Times New Roman"/>
        </w:rPr>
        <w:t xml:space="preserve"> зарождение кристаллов.               </w:t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b/>
        </w:rPr>
        <w:t>а)</w:t>
      </w:r>
      <w:r>
        <w:rPr>
          <w:rFonts w:ascii="Times New Roman" w:hAnsi="Times New Roman"/>
        </w:rPr>
        <w:t xml:space="preserve"> В первом случае </w:t>
      </w:r>
      <w:r>
        <w:rPr>
          <w:rFonts w:ascii="Times New Roman" w:hAnsi="Times New Roman"/>
          <w:b/>
        </w:rPr>
        <w:t>(</w:t>
      </w:r>
      <w:r>
        <w:rPr>
          <w:rFonts w:ascii="Times New Roman" w:hAnsi="Times New Roman"/>
          <w:b/>
          <w:i/>
        </w:rPr>
        <w:t>самопроизвольной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i/>
        </w:rPr>
        <w:t>кристаллизации</w:t>
      </w:r>
      <w:r>
        <w:rPr>
          <w:rFonts w:ascii="Times New Roman" w:hAnsi="Times New Roman"/>
          <w:b/>
        </w:rPr>
        <w:t xml:space="preserve">) </w:t>
      </w:r>
      <w:r>
        <w:rPr>
          <w:rFonts w:ascii="Times New Roman" w:hAnsi="Times New Roman"/>
        </w:rPr>
        <w:t>кристаллизации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 xml:space="preserve">образование зародышей и позднее кристаллов происходит только в высокочистом жидком металле. Образование зачатков кристаллизации объяснят тем, что при охлаждении жидкостей (имеется разность между </w:t>
      </w:r>
      <w:r>
        <w:rPr>
          <w:rFonts w:ascii="Times New Roman" w:hAnsi="Times New Roman"/>
          <w:sz w:val="28"/>
          <w:szCs w:val="28"/>
          <w:lang w:val="en-US"/>
        </w:rPr>
        <w:t>tᵒ</w:t>
      </w:r>
      <w:r>
        <w:rPr>
          <w:rFonts w:ascii="Times New Roman" w:hAnsi="Times New Roman"/>
        </w:rPr>
        <w:t xml:space="preserve"> плавления и действительной </w:t>
      </w:r>
      <w:r>
        <w:rPr>
          <w:rFonts w:ascii="Times New Roman" w:hAnsi="Times New Roman"/>
          <w:sz w:val="28"/>
          <w:szCs w:val="28"/>
          <w:lang w:val="en-US"/>
        </w:rPr>
        <w:t>tᵒ</w:t>
      </w:r>
      <w:r w:rsidRPr="00A619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</w:rPr>
        <w:t>жидкости) самопроизвольно создаются устойчивые группировки атомов, некоторые из которых становятся зародышами кристаллизации.</w:t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b/>
        </w:rPr>
        <w:t>б)</w:t>
      </w:r>
      <w:r>
        <w:rPr>
          <w:rFonts w:ascii="Times New Roman" w:hAnsi="Times New Roman"/>
        </w:rPr>
        <w:t xml:space="preserve"> Во втором случае </w:t>
      </w:r>
      <w:r>
        <w:rPr>
          <w:rFonts w:ascii="Times New Roman" w:hAnsi="Times New Roman"/>
          <w:b/>
        </w:rPr>
        <w:t>(</w:t>
      </w:r>
      <w:r>
        <w:rPr>
          <w:rFonts w:ascii="Times New Roman" w:hAnsi="Times New Roman"/>
          <w:b/>
          <w:i/>
        </w:rPr>
        <w:t>несамопроизвольной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i/>
        </w:rPr>
        <w:t>кристаллизации</w:t>
      </w:r>
      <w:r>
        <w:rPr>
          <w:rFonts w:ascii="Times New Roman" w:hAnsi="Times New Roman"/>
          <w:b/>
        </w:rPr>
        <w:t xml:space="preserve">) </w:t>
      </w:r>
      <w:r>
        <w:rPr>
          <w:rFonts w:ascii="Times New Roman" w:hAnsi="Times New Roman"/>
        </w:rPr>
        <w:t>кристаллизация начинается с готовых центров кристаллизации. Такими центрами могут быть мелкие тугоплавкие твердые частицы, находящиеся во взвешенном состоянии в жидкости (их называют модификаторами) или на стенках, соприкасающихся с кристаллизующейся жидкостью.</w:t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Растущие кристаллы в металловедении называют </w:t>
      </w:r>
      <w:r>
        <w:rPr>
          <w:rFonts w:ascii="Times New Roman" w:hAnsi="Times New Roman"/>
          <w:b/>
        </w:rPr>
        <w:t xml:space="preserve">к р и с </w:t>
      </w:r>
      <w:proofErr w:type="gramStart"/>
      <w:r>
        <w:rPr>
          <w:rFonts w:ascii="Times New Roman" w:hAnsi="Times New Roman"/>
          <w:b/>
        </w:rPr>
        <w:t>т</w:t>
      </w:r>
      <w:proofErr w:type="gramEnd"/>
      <w:r>
        <w:rPr>
          <w:rFonts w:ascii="Times New Roman" w:hAnsi="Times New Roman"/>
          <w:b/>
        </w:rPr>
        <w:t xml:space="preserve"> а л </w:t>
      </w:r>
      <w:proofErr w:type="spellStart"/>
      <w:r>
        <w:rPr>
          <w:rFonts w:ascii="Times New Roman" w:hAnsi="Times New Roman"/>
          <w:b/>
        </w:rPr>
        <w:t>л</w:t>
      </w:r>
      <w:proofErr w:type="spellEnd"/>
      <w:r>
        <w:rPr>
          <w:rFonts w:ascii="Times New Roman" w:hAnsi="Times New Roman"/>
          <w:b/>
        </w:rPr>
        <w:t xml:space="preserve"> и т а м и.</w:t>
      </w:r>
    </w:p>
    <w:p w:rsidR="00A6192E" w:rsidRDefault="00A6192E" w:rsidP="00A6192E">
      <w:pPr>
        <w:tabs>
          <w:tab w:val="left" w:pos="3975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Кристаллиты растут по различным схемам - послойный рост, ячеистый, дендритный и ячеист-дендритный.</w:t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>
        <w:rPr>
          <w:noProof/>
          <w:lang w:eastAsia="ru-RU"/>
        </w:rPr>
        <w:drawing>
          <wp:inline distT="0" distB="0" distL="0" distR="0">
            <wp:extent cx="4762500" cy="1276350"/>
            <wp:effectExtent l="0" t="0" r="0" b="0"/>
            <wp:docPr id="1" name="Рисунок 1" descr="https://www.autowelding.ru/img6/macroshov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s://www.autowelding.ru/img6/macroshov0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      </w:t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В технически чистых металлах швов преобладает ячеистая структура </w:t>
      </w:r>
      <w:r>
        <w:rPr>
          <w:rFonts w:ascii="Times New Roman" w:hAnsi="Times New Roman"/>
          <w:b/>
        </w:rPr>
        <w:t>(1),</w:t>
      </w:r>
      <w:r>
        <w:rPr>
          <w:rFonts w:ascii="Times New Roman" w:hAnsi="Times New Roman"/>
        </w:rPr>
        <w:t xml:space="preserve"> которая представляет собой ряд параллельных игл (ячеек), вытянутых в направлении кристаллизации (в направлении отвода тепла). Продвигаясь в расплав (к центру сварочной ванны) через участок послойного роста (гладкий фронт кристаллизации) </w:t>
      </w:r>
      <w:r>
        <w:rPr>
          <w:rFonts w:ascii="Times New Roman" w:hAnsi="Times New Roman"/>
          <w:b/>
        </w:rPr>
        <w:t xml:space="preserve">(2) </w:t>
      </w:r>
      <w:r>
        <w:rPr>
          <w:rFonts w:ascii="Times New Roman" w:hAnsi="Times New Roman"/>
        </w:rPr>
        <w:t xml:space="preserve">ячейки укрупняются, на них могут появится ветви второго порядка - и ячеистый рост сменяется дендритным </w:t>
      </w:r>
      <w:r>
        <w:rPr>
          <w:rFonts w:ascii="Times New Roman" w:hAnsi="Times New Roman"/>
          <w:b/>
        </w:rPr>
        <w:t xml:space="preserve">(3). </w:t>
      </w:r>
      <w:r>
        <w:rPr>
          <w:rFonts w:ascii="Times New Roman" w:hAnsi="Times New Roman"/>
        </w:rPr>
        <w:t xml:space="preserve">При дендритной кристаллизации («дендрон» </w:t>
      </w:r>
      <w:proofErr w:type="gramStart"/>
      <w:r>
        <w:rPr>
          <w:rFonts w:ascii="Times New Roman" w:hAnsi="Times New Roman"/>
        </w:rPr>
        <w:t>по гречески</w:t>
      </w:r>
      <w:proofErr w:type="gramEnd"/>
      <w:r>
        <w:rPr>
          <w:rFonts w:ascii="Times New Roman" w:hAnsi="Times New Roman"/>
        </w:rPr>
        <w:t xml:space="preserve"> - дерево) первоначально вырастает ствол (ось первого порядка) а от него под углом к нему возникают и растут оси второго порядка, от которых могут быть ветви (оси третьего порядка). Одновременно с образованием осей кристаллизации идет заполнение жидким металлом (расплавом) пространства между осями. и происходит формирование кристаллизационной структуры сварного шва.</w:t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При однопроходной сварке МШ имеет столбчатое строение. Столбчатый кристаллит в МШ может представлять собой группу ячеек и дендритов. Образование только ячеистой или дендритной или ячеисто-дендритной микроструктуры зависит от чистоты сварочной ванны, распределения при кристаллизации загрязняющих примесей, скорости охлаждения СШ и т.д.</w:t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В зависимости от условий сварки размеры столбчатых кристаллитов изменяются в достаточно широких пределах, при дуговой сварке их размер обычно равен 0,3 - 3 мм в поперечном </w:t>
      </w:r>
      <w:r>
        <w:rPr>
          <w:rFonts w:ascii="Times New Roman" w:hAnsi="Times New Roman"/>
        </w:rPr>
        <w:lastRenderedPageBreak/>
        <w:t>сечении. У корня СШ расположены более мелкие кристаллиты, ближе к центру СШ - крупные со смешанной структурой.</w:t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</w:rPr>
        <w:t xml:space="preserve">  Химический состав МШ внутри каждого кристаллита при сварке сталей неодинаков. Участки кристаллитов, образованных в конце процесса кристаллизации (например, в верху шва при однопроходной сварке), загрязнены примесями в большей степени, чем первые затвердевшие участки кристаллитов (например, в корне СШ). Это называется - </w:t>
      </w:r>
      <w:r>
        <w:rPr>
          <w:rFonts w:ascii="Times New Roman" w:hAnsi="Times New Roman"/>
          <w:b/>
          <w:i/>
        </w:rPr>
        <w:t xml:space="preserve">внутрикристаллитной химической неоднородностью. </w:t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Одним из наиболее опасных дефектов МШ и околошовной зоны являются </w:t>
      </w:r>
      <w:r>
        <w:rPr>
          <w:rFonts w:ascii="Times New Roman" w:hAnsi="Times New Roman"/>
          <w:b/>
        </w:rPr>
        <w:t>г о р я ч и е   т р е щ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и н ы</w:t>
      </w:r>
      <w:r>
        <w:rPr>
          <w:rFonts w:ascii="Times New Roman" w:hAnsi="Times New Roman"/>
        </w:rPr>
        <w:t xml:space="preserve">, образующиеся по границам кристаллитов на завершающем этапе затвердевания (кристаллизационные трещины). Эти трещины образуются из-за загрязнений в МШ. Большинство загрязнений имеют более низкую </w:t>
      </w:r>
      <w:r>
        <w:rPr>
          <w:rFonts w:ascii="Times New Roman" w:hAnsi="Times New Roman"/>
          <w:sz w:val="28"/>
          <w:szCs w:val="28"/>
          <w:lang w:val="en-US"/>
        </w:rPr>
        <w:t>tᵒ</w:t>
      </w:r>
      <w:r w:rsidRPr="00A619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</w:rPr>
        <w:t xml:space="preserve">плавления, чем железо. Например, сульфид железа в МШ с </w:t>
      </w:r>
      <w:r>
        <w:rPr>
          <w:rFonts w:ascii="Times New Roman" w:hAnsi="Times New Roman"/>
          <w:sz w:val="28"/>
          <w:szCs w:val="28"/>
          <w:lang w:val="en-US"/>
        </w:rPr>
        <w:t>tᵒ</w:t>
      </w:r>
      <w:r w:rsidRPr="00A6192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</w:rPr>
        <w:t xml:space="preserve">плавления 1190ᵒС охлаждается медленнее и долгое время и находится между кристаллитами (зернами) в жидком и </w:t>
      </w:r>
      <w:proofErr w:type="gramStart"/>
      <w:r>
        <w:rPr>
          <w:rFonts w:ascii="Times New Roman" w:hAnsi="Times New Roman"/>
        </w:rPr>
        <w:t>твердо-жидком</w:t>
      </w:r>
      <w:proofErr w:type="gramEnd"/>
      <w:r>
        <w:rPr>
          <w:rFonts w:ascii="Times New Roman" w:hAnsi="Times New Roman"/>
        </w:rPr>
        <w:t xml:space="preserve"> состоянии и не может сопротивляться растягивающим силам, возникающим в сварном соединении в процессе усадки МШ и поэтому трещины по границам кристаллитов (или зерен) в местах залегания загрязнений неизбежны. </w:t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Наряду с горячими трещинами бывают и </w:t>
      </w:r>
      <w:r>
        <w:rPr>
          <w:rFonts w:ascii="Times New Roman" w:hAnsi="Times New Roman"/>
          <w:b/>
        </w:rPr>
        <w:t xml:space="preserve">х о л о д н ы е. </w:t>
      </w:r>
      <w:r>
        <w:rPr>
          <w:rFonts w:ascii="Times New Roman" w:hAnsi="Times New Roman"/>
        </w:rPr>
        <w:t>Холодные трещины как в МШ, так и в ОМ возникают под влиянием водорода, мартенситного превращения и от выпадения с течением времени из раствора частиц сульфидов, фосфидов, нитридов и др.</w:t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b/>
          <w:i/>
        </w:rPr>
        <w:t>Мартенситное превращение</w:t>
      </w:r>
      <w:r>
        <w:rPr>
          <w:rFonts w:ascii="Times New Roman" w:hAnsi="Times New Roman"/>
        </w:rPr>
        <w:t xml:space="preserve"> идет с увеличением объема ЖМ, что вызывает появление внутренних напряжений и трещин.</w:t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b/>
          <w:i/>
        </w:rPr>
        <w:t>Водород</w:t>
      </w:r>
      <w:r>
        <w:rPr>
          <w:rFonts w:ascii="Times New Roman" w:hAnsi="Times New Roman"/>
        </w:rPr>
        <w:t>, выпавший при охлаждении металла из раствора, соединяется в молекулы с образованием внутризернистого давления, что усиливает образование трещин.</w:t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Соединение, выполненное сваркой плавления, состоит из 4-х зон:</w:t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</w:rPr>
      </w:pP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  <w:b/>
        </w:rPr>
        <w:t>§ 5. Строение сварного шва.</w:t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55245</wp:posOffset>
            </wp:positionH>
            <wp:positionV relativeFrom="paragraph">
              <wp:posOffset>117475</wp:posOffset>
            </wp:positionV>
            <wp:extent cx="2647315" cy="1095375"/>
            <wp:effectExtent l="0" t="0" r="635" b="9525"/>
            <wp:wrapTight wrapText="bothSides">
              <wp:wrapPolygon edited="0">
                <wp:start x="0" y="0"/>
                <wp:lineTo x="0" y="21412"/>
                <wp:lineTo x="21450" y="21412"/>
                <wp:lineTo x="21450" y="0"/>
                <wp:lineTo x="0" y="0"/>
              </wp:wrapPolygon>
            </wp:wrapTight>
            <wp:docPr id="5" name="Рисунок 5" descr="http://ic3.static.km.ru/sites/default/files/upload/2014/05/convert001_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ic3.static.km.ru/sites/default/files/upload/2014/05/convert001_5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1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199390</wp:posOffset>
            </wp:positionH>
            <wp:positionV relativeFrom="paragraph">
              <wp:posOffset>116205</wp:posOffset>
            </wp:positionV>
            <wp:extent cx="2486025" cy="866775"/>
            <wp:effectExtent l="0" t="0" r="9525" b="9525"/>
            <wp:wrapTight wrapText="bothSides">
              <wp:wrapPolygon edited="0">
                <wp:start x="0" y="0"/>
                <wp:lineTo x="0" y="21363"/>
                <wp:lineTo x="21517" y="21363"/>
                <wp:lineTo x="21517" y="0"/>
                <wp:lineTo x="0" y="0"/>
              </wp:wrapPolygon>
            </wp:wrapTight>
            <wp:docPr id="4" name="Рисунок 4" descr="http://ic3.static.km.ru/sites/default/files/upload/2014/05/convert001_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ic3.static.km.ru/sites/default/files/upload/2014/05/convert001_5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</w:rPr>
        <w:t xml:space="preserve">Соединение, выполненное сваркой плавлением, состоит из четырех </w:t>
      </w:r>
      <w:proofErr w:type="gramStart"/>
      <w:r>
        <w:rPr>
          <w:rFonts w:ascii="Times New Roman" w:hAnsi="Times New Roman"/>
        </w:rPr>
        <w:t xml:space="preserve">зон:   </w:t>
      </w:r>
      <w:proofErr w:type="gramEnd"/>
      <w:r>
        <w:rPr>
          <w:rFonts w:ascii="Times New Roman" w:hAnsi="Times New Roman"/>
        </w:rPr>
        <w:t xml:space="preserve">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 xml:space="preserve">1—металл шва;                           </w:t>
      </w:r>
      <w:r>
        <w:rPr>
          <w:rFonts w:ascii="Times New Roman" w:hAnsi="Times New Roman"/>
          <w:b/>
        </w:rPr>
        <w:tab/>
        <w:t xml:space="preserve">     </w:t>
      </w:r>
      <w:r>
        <w:rPr>
          <w:rFonts w:ascii="Times New Roman" w:hAnsi="Times New Roman"/>
          <w:b/>
        </w:rPr>
        <w:tab/>
        <w:t xml:space="preserve"> </w:t>
      </w:r>
      <w:r>
        <w:rPr>
          <w:rFonts w:ascii="Times New Roman" w:hAnsi="Times New Roman"/>
          <w:b/>
        </w:rPr>
        <w:tab/>
        <w:t xml:space="preserve">2—зона сплавления;                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3—зона термического влияния;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      4—ОМ.</w:t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121285</wp:posOffset>
            </wp:positionH>
            <wp:positionV relativeFrom="paragraph">
              <wp:posOffset>127000</wp:posOffset>
            </wp:positionV>
            <wp:extent cx="2647315" cy="1095375"/>
            <wp:effectExtent l="0" t="0" r="635" b="9525"/>
            <wp:wrapTight wrapText="bothSides">
              <wp:wrapPolygon edited="0">
                <wp:start x="0" y="0"/>
                <wp:lineTo x="0" y="21412"/>
                <wp:lineTo x="21450" y="21412"/>
                <wp:lineTo x="21450" y="0"/>
                <wp:lineTo x="0" y="0"/>
              </wp:wrapPolygon>
            </wp:wrapTight>
            <wp:docPr id="3" name="Рисунок 3" descr="http://ic3.static.km.ru/sites/default/files/upload/2014/05/convert001_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ic3.static.km.ru/sites/default/files/upload/2014/05/convert001_5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1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64770</wp:posOffset>
            </wp:positionH>
            <wp:positionV relativeFrom="paragraph">
              <wp:posOffset>127000</wp:posOffset>
            </wp:positionV>
            <wp:extent cx="2647315" cy="1095375"/>
            <wp:effectExtent l="0" t="0" r="635" b="9525"/>
            <wp:wrapTight wrapText="bothSides">
              <wp:wrapPolygon edited="0">
                <wp:start x="0" y="0"/>
                <wp:lineTo x="0" y="21412"/>
                <wp:lineTo x="21450" y="21412"/>
                <wp:lineTo x="21450" y="0"/>
                <wp:lineTo x="0" y="0"/>
              </wp:wrapPolygon>
            </wp:wrapTight>
            <wp:docPr id="2" name="Рисунок 2" descr="http://ic3.static.km.ru/sites/default/files/upload/2014/05/convert001_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ttp://ic3.static.km.ru/sites/default/files/upload/2014/05/convert001_5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1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  <w:b/>
        </w:rPr>
      </w:pPr>
    </w:p>
    <w:p w:rsidR="00A6192E" w:rsidRDefault="00A6192E" w:rsidP="00A6192E">
      <w:pPr>
        <w:tabs>
          <w:tab w:val="left" w:pos="3975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1. </w:t>
      </w:r>
      <w:r>
        <w:rPr>
          <w:rFonts w:ascii="Times New Roman" w:hAnsi="Times New Roman"/>
        </w:rPr>
        <w:t>Основной металл или МШ-металл соединяемых частей.</w:t>
      </w:r>
    </w:p>
    <w:p w:rsidR="00A6192E" w:rsidRDefault="00A6192E" w:rsidP="00A6192E">
      <w:pPr>
        <w:tabs>
          <w:tab w:val="left" w:pos="3975"/>
        </w:tabs>
        <w:jc w:val="both"/>
      </w:pPr>
      <w:r>
        <w:rPr>
          <w:rFonts w:ascii="Times New Roman" w:hAnsi="Times New Roman"/>
          <w:b/>
        </w:rPr>
        <w:t>2.</w:t>
      </w:r>
      <w:r>
        <w:rPr>
          <w:rFonts w:ascii="Times New Roman" w:hAnsi="Times New Roman"/>
        </w:rPr>
        <w:t xml:space="preserve"> Зона сплавления – металл, сосредоточенный по бокам границы между ОМ и МШ. В ней сосредоточены хим. неоднородность, концентрация напряжений, что является результатом плохого перемешивания в пограничном слое металла между СВ и ОМ. В этой зоне металл отличается от соседних участков хим. составом и мех. свойствами. Толщина этой зоны выражается микронами, но по работоспособности СК ее роль очень велика. В этой зоне возникают трещины и несплавления металлов. Хим. неоднородность, возникающая в металле сплавления, приводит к высоким структурным напряжениям, а отсюда к трещинам.</w:t>
      </w:r>
    </w:p>
    <w:p w:rsidR="00A6192E" w:rsidRDefault="00A6192E" w:rsidP="00A6192E">
      <w:pPr>
        <w:tabs>
          <w:tab w:val="left" w:pos="3975"/>
        </w:tabs>
        <w:jc w:val="both"/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  <w:b/>
        </w:rPr>
        <w:t>3.</w:t>
      </w:r>
      <w:r>
        <w:rPr>
          <w:rFonts w:ascii="Times New Roman" w:hAnsi="Times New Roman"/>
        </w:rPr>
        <w:t xml:space="preserve"> Зона термического влияния—участок ОМ, неподвергшийся расплавлению, структура и свойства которого изменяются в результате нагревания и пластической деформации при сварке.</w:t>
      </w:r>
    </w:p>
    <w:p w:rsidR="00A6192E" w:rsidRDefault="00A6192E" w:rsidP="00A6192E">
      <w:pPr>
        <w:tabs>
          <w:tab w:val="left" w:pos="3975"/>
        </w:tabs>
        <w:jc w:val="both"/>
      </w:pPr>
      <w:r>
        <w:rPr>
          <w:rFonts w:ascii="Times New Roman" w:hAnsi="Times New Roman"/>
          <w:b/>
        </w:rPr>
        <w:t xml:space="preserve">   4</w:t>
      </w:r>
      <w:r>
        <w:rPr>
          <w:rFonts w:ascii="Times New Roman" w:hAnsi="Times New Roman"/>
        </w:rPr>
        <w:t>. ОМ—металл соединяемых частей.</w:t>
      </w:r>
    </w:p>
    <w:p w:rsidR="00A6192E" w:rsidRDefault="00A6192E" w:rsidP="00A6192E"/>
    <w:p w:rsidR="005A01C9" w:rsidRDefault="00A6192E">
      <w:bookmarkStart w:id="0" w:name="_GoBack"/>
      <w:bookmarkEnd w:id="0"/>
    </w:p>
    <w:sectPr w:rsidR="005A01C9" w:rsidSect="00A6192E">
      <w:pgSz w:w="11906" w:h="16838" w:code="9"/>
      <w:pgMar w:top="851" w:right="850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D62"/>
    <w:rsid w:val="00114D62"/>
    <w:rsid w:val="001E602C"/>
    <w:rsid w:val="004755D3"/>
    <w:rsid w:val="004A422F"/>
    <w:rsid w:val="005878FD"/>
    <w:rsid w:val="005E6B17"/>
    <w:rsid w:val="00600B3D"/>
    <w:rsid w:val="007C79D6"/>
    <w:rsid w:val="00A6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286371-24B0-40A5-983B-1FAAA291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1"/>
        <w:szCs w:val="21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92E"/>
    <w:pPr>
      <w:autoSpaceDN w:val="0"/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A422F"/>
    <w:pPr>
      <w:keepNext/>
      <w:keepLines/>
      <w:pBdr>
        <w:left w:val="single" w:sz="12" w:space="12" w:color="ED7D31" w:themeColor="accent2"/>
      </w:pBdr>
      <w:autoSpaceDN/>
      <w:spacing w:before="80" w:after="120" w:line="276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422F"/>
    <w:pPr>
      <w:keepNext/>
      <w:keepLines/>
      <w:autoSpaceDN/>
      <w:spacing w:before="120" w:line="276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422F"/>
    <w:pPr>
      <w:keepNext/>
      <w:keepLines/>
      <w:autoSpaceDN/>
      <w:spacing w:before="80" w:line="276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422F"/>
    <w:pPr>
      <w:keepNext/>
      <w:keepLines/>
      <w:autoSpaceDN/>
      <w:spacing w:before="80" w:line="276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22F"/>
    <w:pPr>
      <w:keepNext/>
      <w:keepLines/>
      <w:autoSpaceDN/>
      <w:spacing w:before="80" w:line="276" w:lineRule="auto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22F"/>
    <w:pPr>
      <w:keepNext/>
      <w:keepLines/>
      <w:autoSpaceDN/>
      <w:spacing w:before="80" w:line="276" w:lineRule="auto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22F"/>
    <w:pPr>
      <w:keepNext/>
      <w:keepLines/>
      <w:autoSpaceDN/>
      <w:spacing w:before="80" w:line="276" w:lineRule="auto"/>
      <w:outlineLvl w:val="6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22F"/>
    <w:pPr>
      <w:keepNext/>
      <w:keepLines/>
      <w:autoSpaceDN/>
      <w:spacing w:before="80" w:line="276" w:lineRule="auto"/>
      <w:outlineLvl w:val="7"/>
    </w:pPr>
    <w:rPr>
      <w:rFonts w:asciiTheme="majorHAnsi" w:eastAsiaTheme="majorEastAsia" w:hAnsiTheme="majorHAnsi" w:cstheme="majorBidi"/>
      <w:caps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22F"/>
    <w:pPr>
      <w:keepNext/>
      <w:keepLines/>
      <w:autoSpaceDN/>
      <w:spacing w:before="80" w:line="276" w:lineRule="auto"/>
      <w:outlineLvl w:val="8"/>
    </w:pPr>
    <w:rPr>
      <w:rFonts w:asciiTheme="majorHAnsi" w:eastAsiaTheme="majorEastAsia" w:hAnsiTheme="majorHAnsi" w:cstheme="majorBidi"/>
      <w:i/>
      <w:iCs/>
      <w:cap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22F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4A422F"/>
    <w:rPr>
      <w:rFonts w:asciiTheme="majorHAnsi" w:eastAsiaTheme="majorEastAsia" w:hAnsiTheme="majorHAnsi" w:cstheme="majorBidi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4A422F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422F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A422F"/>
    <w:rPr>
      <w:rFonts w:asciiTheme="majorHAnsi" w:eastAsiaTheme="majorEastAsia" w:hAnsiTheme="majorHAnsi" w:cstheme="majorBidi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4A422F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4A422F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A422F"/>
    <w:rPr>
      <w:rFonts w:asciiTheme="majorHAnsi" w:eastAsiaTheme="majorEastAsia" w:hAnsiTheme="majorHAnsi" w:cstheme="majorBidi"/>
      <w:caps/>
    </w:rPr>
  </w:style>
  <w:style w:type="character" w:customStyle="1" w:styleId="90">
    <w:name w:val="Заголовок 9 Знак"/>
    <w:basedOn w:val="a0"/>
    <w:link w:val="9"/>
    <w:uiPriority w:val="9"/>
    <w:semiHidden/>
    <w:rsid w:val="004A422F"/>
    <w:rPr>
      <w:rFonts w:asciiTheme="majorHAnsi" w:eastAsiaTheme="majorEastAsia" w:hAnsiTheme="majorHAnsi" w:cstheme="majorBidi"/>
      <w:i/>
      <w:iCs/>
      <w:caps/>
    </w:rPr>
  </w:style>
  <w:style w:type="paragraph" w:styleId="a3">
    <w:name w:val="caption"/>
    <w:basedOn w:val="a"/>
    <w:next w:val="a"/>
    <w:uiPriority w:val="35"/>
    <w:unhideWhenUsed/>
    <w:qFormat/>
    <w:rsid w:val="004A422F"/>
    <w:pPr>
      <w:autoSpaceDN/>
      <w:spacing w:after="120" w:line="276" w:lineRule="auto"/>
    </w:pPr>
    <w:rPr>
      <w:rFonts w:asciiTheme="minorHAnsi" w:eastAsiaTheme="minorHAnsi" w:hAnsiTheme="minorHAnsi" w:cstheme="minorBidi"/>
      <w:b/>
      <w:bCs/>
      <w:color w:val="ED7D31" w:themeColor="accent2"/>
      <w:spacing w:val="10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4A422F"/>
    <w:pPr>
      <w:autoSpaceDN/>
      <w:spacing w:line="276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a5">
    <w:name w:val="Название Знак"/>
    <w:basedOn w:val="a0"/>
    <w:link w:val="a4"/>
    <w:uiPriority w:val="10"/>
    <w:rsid w:val="004A422F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a6">
    <w:name w:val="Subtitle"/>
    <w:basedOn w:val="a"/>
    <w:next w:val="a"/>
    <w:link w:val="a7"/>
    <w:uiPriority w:val="11"/>
    <w:qFormat/>
    <w:rsid w:val="004A422F"/>
    <w:pPr>
      <w:numPr>
        <w:ilvl w:val="1"/>
      </w:numPr>
      <w:autoSpaceDN/>
      <w:spacing w:after="240" w:line="276" w:lineRule="auto"/>
    </w:pPr>
    <w:rPr>
      <w:rFonts w:asciiTheme="minorHAnsi" w:eastAsiaTheme="minorHAnsi" w:hAnsiTheme="minorHAnsi" w:cstheme="minorBidi"/>
      <w:color w:val="000000" w:themeColor="text1"/>
    </w:rPr>
  </w:style>
  <w:style w:type="character" w:customStyle="1" w:styleId="a7">
    <w:name w:val="Подзаголовок Знак"/>
    <w:basedOn w:val="a0"/>
    <w:link w:val="a6"/>
    <w:uiPriority w:val="11"/>
    <w:rsid w:val="004A422F"/>
    <w:rPr>
      <w:color w:val="000000" w:themeColor="text1"/>
      <w:sz w:val="24"/>
      <w:szCs w:val="24"/>
    </w:rPr>
  </w:style>
  <w:style w:type="character" w:styleId="a8">
    <w:name w:val="Strong"/>
    <w:basedOn w:val="a0"/>
    <w:uiPriority w:val="22"/>
    <w:qFormat/>
    <w:rsid w:val="004A422F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a9">
    <w:name w:val="Emphasis"/>
    <w:basedOn w:val="a0"/>
    <w:uiPriority w:val="20"/>
    <w:qFormat/>
    <w:rsid w:val="004A422F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aa">
    <w:name w:val="No Spacing"/>
    <w:uiPriority w:val="1"/>
    <w:qFormat/>
    <w:rsid w:val="004A422F"/>
    <w:pPr>
      <w:spacing w:after="0"/>
    </w:pPr>
  </w:style>
  <w:style w:type="paragraph" w:styleId="ab">
    <w:name w:val="List Paragraph"/>
    <w:basedOn w:val="a"/>
    <w:uiPriority w:val="34"/>
    <w:qFormat/>
    <w:rsid w:val="004A422F"/>
    <w:pPr>
      <w:autoSpaceDN/>
      <w:spacing w:after="120" w:line="276" w:lineRule="auto"/>
      <w:ind w:left="720"/>
      <w:contextualSpacing/>
    </w:pPr>
    <w:rPr>
      <w:rFonts w:asciiTheme="minorHAnsi" w:eastAsiaTheme="minorHAnsi" w:hAnsiTheme="minorHAnsi" w:cs="Mangal"/>
      <w:sz w:val="21"/>
      <w:szCs w:val="19"/>
    </w:rPr>
  </w:style>
  <w:style w:type="paragraph" w:styleId="21">
    <w:name w:val="Quote"/>
    <w:basedOn w:val="a"/>
    <w:next w:val="a"/>
    <w:link w:val="22"/>
    <w:uiPriority w:val="29"/>
    <w:qFormat/>
    <w:rsid w:val="004A422F"/>
    <w:pPr>
      <w:autoSpaceDN/>
      <w:spacing w:before="160" w:after="120" w:line="276" w:lineRule="auto"/>
      <w:ind w:left="720"/>
    </w:pPr>
    <w:rPr>
      <w:rFonts w:asciiTheme="majorHAnsi" w:eastAsiaTheme="majorEastAsia" w:hAnsiTheme="majorHAnsi" w:cstheme="majorBidi"/>
    </w:rPr>
  </w:style>
  <w:style w:type="character" w:customStyle="1" w:styleId="22">
    <w:name w:val="Цитата 2 Знак"/>
    <w:basedOn w:val="a0"/>
    <w:link w:val="21"/>
    <w:uiPriority w:val="29"/>
    <w:rsid w:val="004A422F"/>
    <w:rPr>
      <w:rFonts w:asciiTheme="majorHAnsi" w:eastAsiaTheme="majorEastAsia" w:hAnsiTheme="majorHAnsi" w:cstheme="majorBidi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4A422F"/>
    <w:pPr>
      <w:autoSpaceDN/>
      <w:spacing w:before="100" w:beforeAutospacing="1" w:after="24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ad">
    <w:name w:val="Выделенная цитата Знак"/>
    <w:basedOn w:val="a0"/>
    <w:link w:val="ac"/>
    <w:uiPriority w:val="30"/>
    <w:rsid w:val="004A422F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ae">
    <w:name w:val="Subtle Emphasis"/>
    <w:basedOn w:val="a0"/>
    <w:uiPriority w:val="19"/>
    <w:qFormat/>
    <w:rsid w:val="004A422F"/>
    <w:rPr>
      <w:i/>
      <w:iCs/>
      <w:color w:val="auto"/>
    </w:rPr>
  </w:style>
  <w:style w:type="character" w:styleId="af">
    <w:name w:val="Intense Emphasis"/>
    <w:basedOn w:val="a0"/>
    <w:uiPriority w:val="21"/>
    <w:qFormat/>
    <w:rsid w:val="004A422F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af0">
    <w:name w:val="Subtle Reference"/>
    <w:basedOn w:val="a0"/>
    <w:uiPriority w:val="31"/>
    <w:qFormat/>
    <w:rsid w:val="004A422F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af1">
    <w:name w:val="Intense Reference"/>
    <w:basedOn w:val="a0"/>
    <w:uiPriority w:val="32"/>
    <w:qFormat/>
    <w:rsid w:val="004A422F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af2">
    <w:name w:val="Book Title"/>
    <w:basedOn w:val="a0"/>
    <w:uiPriority w:val="33"/>
    <w:qFormat/>
    <w:rsid w:val="004A422F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af3">
    <w:name w:val="TOC Heading"/>
    <w:basedOn w:val="1"/>
    <w:next w:val="a"/>
    <w:uiPriority w:val="39"/>
    <w:semiHidden/>
    <w:unhideWhenUsed/>
    <w:qFormat/>
    <w:rsid w:val="004A422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0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930</Words>
  <Characters>5304</Characters>
  <Application>Microsoft Office Word</Application>
  <DocSecurity>0</DocSecurity>
  <Lines>44</Lines>
  <Paragraphs>12</Paragraphs>
  <ScaleCrop>false</ScaleCrop>
  <Company/>
  <LinksUpToDate>false</LinksUpToDate>
  <CharactersWithSpaces>6222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2020-04-09T11:59:00Z</dcterms:created>
  <dcterms:modified xsi:type="dcterms:W3CDTF">2020-04-09T11:59:00Z</dcterms:modified>
</cp:coreProperties>
</file>